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E1495" w14:textId="77777777" w:rsidR="009F38F1" w:rsidRDefault="009F38F1" w:rsidP="001F5774">
      <w:pPr>
        <w:pStyle w:val="Kopfzeile"/>
        <w:spacing w:line="360" w:lineRule="auto"/>
        <w:ind w:right="-1"/>
        <w:jc w:val="both"/>
        <w:rPr>
          <w:rFonts w:ascii="Arial" w:hAnsi="Arial" w:cs="Arial"/>
          <w:b/>
          <w:sz w:val="24"/>
          <w:szCs w:val="24"/>
        </w:rPr>
      </w:pPr>
    </w:p>
    <w:p w14:paraId="76D33E2A" w14:textId="77777777" w:rsidR="00903522" w:rsidRDefault="00903522" w:rsidP="001F5774">
      <w:pPr>
        <w:pStyle w:val="Kopfzeile"/>
        <w:spacing w:line="360" w:lineRule="auto"/>
        <w:ind w:right="-1"/>
        <w:jc w:val="both"/>
      </w:pPr>
      <w:r>
        <w:rPr>
          <w:rFonts w:ascii="Arial" w:hAnsi="Arial" w:cs="Arial"/>
          <w:b/>
          <w:sz w:val="24"/>
          <w:szCs w:val="24"/>
        </w:rPr>
        <w:t>PRESSEINFORMATION</w:t>
      </w:r>
    </w:p>
    <w:p w14:paraId="2104D3B6" w14:textId="77777777" w:rsidR="00903522" w:rsidRDefault="00903522" w:rsidP="001F5774">
      <w:pPr>
        <w:pStyle w:val="Kopfzeile"/>
        <w:spacing w:line="360" w:lineRule="auto"/>
        <w:ind w:right="-1"/>
      </w:pPr>
    </w:p>
    <w:p w14:paraId="4DA6590E" w14:textId="77777777" w:rsidR="007342DC" w:rsidRPr="007342DC" w:rsidRDefault="007342DC" w:rsidP="001F5774">
      <w:pPr>
        <w:pStyle w:val="Kopfzeile"/>
        <w:spacing w:line="360" w:lineRule="auto"/>
        <w:ind w:right="-1"/>
        <w:rPr>
          <w:rFonts w:ascii="Arial" w:hAnsi="Arial" w:cs="Arial"/>
          <w:i/>
          <w:sz w:val="24"/>
          <w:szCs w:val="24"/>
        </w:rPr>
      </w:pPr>
      <w:r w:rsidRPr="007342DC">
        <w:rPr>
          <w:rFonts w:ascii="Arial" w:hAnsi="Arial" w:cs="Arial"/>
          <w:i/>
          <w:sz w:val="24"/>
          <w:szCs w:val="24"/>
        </w:rPr>
        <w:t>Polypharmazie in der Altenhilfe</w:t>
      </w:r>
    </w:p>
    <w:p w14:paraId="513AA9BC" w14:textId="35BFD0B8" w:rsidR="00903522" w:rsidRDefault="007342DC" w:rsidP="001F5774">
      <w:pPr>
        <w:pStyle w:val="Kopfzeile"/>
        <w:spacing w:line="360" w:lineRule="auto"/>
        <w:ind w:right="-1"/>
        <w:rPr>
          <w:rFonts w:ascii="Arial" w:hAnsi="Arial" w:cs="Arial"/>
          <w:b/>
          <w:sz w:val="28"/>
          <w:szCs w:val="28"/>
        </w:rPr>
      </w:pPr>
      <w:r>
        <w:rPr>
          <w:rFonts w:ascii="Arial" w:hAnsi="Arial" w:cs="Arial"/>
          <w:b/>
          <w:sz w:val="28"/>
          <w:szCs w:val="28"/>
        </w:rPr>
        <w:t>Therapiesicherheit und Verträglichkeit um 25 Prozent verbessert</w:t>
      </w:r>
    </w:p>
    <w:p w14:paraId="1A6E0E20" w14:textId="2FE0A780" w:rsidR="005737A6" w:rsidRDefault="000563D7" w:rsidP="001F5774">
      <w:pPr>
        <w:pStyle w:val="Kopfzeile"/>
        <w:spacing w:line="360" w:lineRule="auto"/>
        <w:ind w:right="-1"/>
        <w:rPr>
          <w:rFonts w:ascii="Arial" w:hAnsi="Arial" w:cs="Arial"/>
          <w:b/>
          <w:i/>
          <w:sz w:val="20"/>
          <w:szCs w:val="20"/>
        </w:rPr>
      </w:pPr>
      <w:bookmarkStart w:id="0" w:name="_Hlk489953235"/>
      <w:r>
        <w:rPr>
          <w:rFonts w:ascii="Arial" w:hAnsi="Arial" w:cs="Arial"/>
          <w:b/>
          <w:i/>
          <w:sz w:val="20"/>
          <w:szCs w:val="20"/>
        </w:rPr>
        <w:t>In E</w:t>
      </w:r>
      <w:r w:rsidR="007676CB">
        <w:rPr>
          <w:rFonts w:ascii="Arial" w:hAnsi="Arial" w:cs="Arial"/>
          <w:b/>
          <w:i/>
          <w:sz w:val="20"/>
          <w:szCs w:val="20"/>
        </w:rPr>
        <w:t>inzel</w:t>
      </w:r>
      <w:r>
        <w:rPr>
          <w:rFonts w:ascii="Arial" w:hAnsi="Arial" w:cs="Arial"/>
          <w:b/>
          <w:i/>
          <w:sz w:val="20"/>
          <w:szCs w:val="20"/>
        </w:rPr>
        <w:t>fällen konnte auf bis zu</w:t>
      </w:r>
      <w:r w:rsidR="006F6937">
        <w:rPr>
          <w:rFonts w:ascii="Arial" w:hAnsi="Arial" w:cs="Arial"/>
          <w:b/>
          <w:i/>
          <w:sz w:val="20"/>
          <w:szCs w:val="20"/>
        </w:rPr>
        <w:t xml:space="preserve"> 5</w:t>
      </w:r>
      <w:r>
        <w:rPr>
          <w:rFonts w:ascii="Arial" w:hAnsi="Arial" w:cs="Arial"/>
          <w:b/>
          <w:i/>
          <w:sz w:val="20"/>
          <w:szCs w:val="20"/>
        </w:rPr>
        <w:t xml:space="preserve"> Arzneimittel verzichtet werden</w:t>
      </w:r>
      <w:r w:rsidR="005C14E5">
        <w:rPr>
          <w:rFonts w:ascii="Arial" w:hAnsi="Arial" w:cs="Arial"/>
          <w:b/>
          <w:i/>
          <w:sz w:val="20"/>
          <w:szCs w:val="20"/>
        </w:rPr>
        <w:t xml:space="preserve"> </w:t>
      </w:r>
      <w:bookmarkEnd w:id="0"/>
      <w:r w:rsidR="005C14E5">
        <w:rPr>
          <w:rFonts w:ascii="Arial" w:hAnsi="Arial" w:cs="Arial"/>
          <w:b/>
          <w:i/>
          <w:sz w:val="20"/>
          <w:szCs w:val="20"/>
        </w:rPr>
        <w:t>/ Online-Plattform und gemeinsame Schulungen brachten den Durchbruch</w:t>
      </w:r>
    </w:p>
    <w:p w14:paraId="15CA4909" w14:textId="77777777" w:rsidR="005737A6" w:rsidRPr="005737A6" w:rsidRDefault="005737A6" w:rsidP="001F5774">
      <w:pPr>
        <w:pStyle w:val="Kopfzeile"/>
        <w:spacing w:line="360" w:lineRule="auto"/>
        <w:ind w:right="-1"/>
        <w:rPr>
          <w:rFonts w:ascii="Arial" w:hAnsi="Arial" w:cs="Arial"/>
          <w:b/>
          <w:i/>
          <w:sz w:val="20"/>
          <w:szCs w:val="20"/>
        </w:rPr>
      </w:pPr>
    </w:p>
    <w:p w14:paraId="31C19E69" w14:textId="24CF02B4" w:rsidR="00F6081E" w:rsidRDefault="007342DC" w:rsidP="001F5774">
      <w:pPr>
        <w:pStyle w:val="Kopfzeile"/>
        <w:spacing w:line="360" w:lineRule="auto"/>
        <w:ind w:right="-1"/>
        <w:rPr>
          <w:rFonts w:ascii="Arial" w:hAnsi="Arial" w:cs="Arial"/>
          <w:b/>
        </w:rPr>
      </w:pPr>
      <w:r>
        <w:rPr>
          <w:rFonts w:ascii="Arial" w:hAnsi="Arial" w:cs="Arial"/>
          <w:b/>
        </w:rPr>
        <w:t>Mannheim, 12</w:t>
      </w:r>
      <w:r w:rsidR="00683C1B">
        <w:rPr>
          <w:rFonts w:ascii="Arial" w:hAnsi="Arial" w:cs="Arial"/>
          <w:b/>
        </w:rPr>
        <w:t>.</w:t>
      </w:r>
      <w:r w:rsidR="000563D7" w:rsidRPr="00D92AEE">
        <w:rPr>
          <w:rFonts w:ascii="Arial" w:hAnsi="Arial" w:cs="Arial"/>
          <w:b/>
        </w:rPr>
        <w:t xml:space="preserve"> </w:t>
      </w:r>
      <w:r>
        <w:rPr>
          <w:rFonts w:ascii="Arial" w:hAnsi="Arial" w:cs="Arial"/>
          <w:b/>
        </w:rPr>
        <w:t xml:space="preserve">Oktober </w:t>
      </w:r>
      <w:r w:rsidR="000563D7" w:rsidRPr="00D92AEE">
        <w:rPr>
          <w:rFonts w:ascii="Arial" w:hAnsi="Arial" w:cs="Arial"/>
          <w:b/>
        </w:rPr>
        <w:t>2017</w:t>
      </w:r>
      <w:r w:rsidR="000563D7">
        <w:rPr>
          <w:rFonts w:ascii="Arial" w:hAnsi="Arial" w:cs="Arial"/>
        </w:rPr>
        <w:t xml:space="preserve">. </w:t>
      </w:r>
      <w:r w:rsidR="007B7C59">
        <w:rPr>
          <w:rFonts w:ascii="Arial" w:hAnsi="Arial" w:cs="Arial"/>
          <w:b/>
        </w:rPr>
        <w:t xml:space="preserve">„Mehr </w:t>
      </w:r>
      <w:r w:rsidR="007B4072">
        <w:rPr>
          <w:rFonts w:ascii="Arial" w:hAnsi="Arial" w:cs="Arial"/>
          <w:b/>
        </w:rPr>
        <w:t xml:space="preserve">interprofessionelle </w:t>
      </w:r>
      <w:r w:rsidR="007B7C59">
        <w:rPr>
          <w:rFonts w:ascii="Arial" w:hAnsi="Arial" w:cs="Arial"/>
          <w:b/>
        </w:rPr>
        <w:t>Zusammenarbeit, mehr</w:t>
      </w:r>
      <w:r w:rsidR="00670216">
        <w:rPr>
          <w:rFonts w:ascii="Arial" w:hAnsi="Arial" w:cs="Arial"/>
          <w:b/>
        </w:rPr>
        <w:t xml:space="preserve"> Technik, mehr Standardisierung</w:t>
      </w:r>
      <w:r w:rsidR="007B4072">
        <w:rPr>
          <w:rFonts w:ascii="Arial" w:hAnsi="Arial" w:cs="Arial"/>
          <w:b/>
        </w:rPr>
        <w:t>.</w:t>
      </w:r>
      <w:r w:rsidR="007B6097">
        <w:rPr>
          <w:rFonts w:ascii="Arial" w:hAnsi="Arial" w:cs="Arial"/>
          <w:b/>
        </w:rPr>
        <w:t xml:space="preserve">“ </w:t>
      </w:r>
      <w:r w:rsidR="00CB43BA">
        <w:rPr>
          <w:rFonts w:ascii="Arial" w:hAnsi="Arial" w:cs="Arial"/>
          <w:b/>
        </w:rPr>
        <w:t xml:space="preserve">So lautet das Fazit </w:t>
      </w:r>
      <w:r w:rsidR="007B4072">
        <w:rPr>
          <w:rFonts w:ascii="Arial" w:hAnsi="Arial" w:cs="Arial"/>
          <w:b/>
        </w:rPr>
        <w:t xml:space="preserve">des Projekts </w:t>
      </w:r>
      <w:proofErr w:type="spellStart"/>
      <w:r w:rsidR="007B4072">
        <w:rPr>
          <w:rFonts w:ascii="Arial" w:hAnsi="Arial" w:cs="Arial"/>
          <w:b/>
        </w:rPr>
        <w:t>InTherAKT</w:t>
      </w:r>
      <w:proofErr w:type="spellEnd"/>
      <w:r w:rsidR="007B4072">
        <w:rPr>
          <w:rFonts w:ascii="Arial" w:hAnsi="Arial" w:cs="Arial"/>
          <w:b/>
        </w:rPr>
        <w:t xml:space="preserve"> zur Verbesserung der </w:t>
      </w:r>
      <w:r w:rsidR="00CB43BA">
        <w:rPr>
          <w:rFonts w:ascii="Arial" w:hAnsi="Arial" w:cs="Arial"/>
          <w:b/>
        </w:rPr>
        <w:t xml:space="preserve">Medikation </w:t>
      </w:r>
      <w:r w:rsidR="007B4072">
        <w:rPr>
          <w:rFonts w:ascii="Arial" w:hAnsi="Arial" w:cs="Arial"/>
          <w:b/>
        </w:rPr>
        <w:t>in Altenhilfeeinrichtungen</w:t>
      </w:r>
      <w:r w:rsidR="00CB43BA">
        <w:rPr>
          <w:rFonts w:ascii="Arial" w:hAnsi="Arial" w:cs="Arial"/>
          <w:b/>
        </w:rPr>
        <w:t xml:space="preserve">. </w:t>
      </w:r>
      <w:r w:rsidR="007B6097">
        <w:rPr>
          <w:rFonts w:ascii="Arial" w:hAnsi="Arial" w:cs="Arial"/>
          <w:b/>
        </w:rPr>
        <w:t>Rund zwei</w:t>
      </w:r>
      <w:r w:rsidR="002E544E" w:rsidRPr="002E544E">
        <w:rPr>
          <w:rFonts w:ascii="Arial" w:hAnsi="Arial" w:cs="Arial"/>
          <w:b/>
        </w:rPr>
        <w:t xml:space="preserve"> </w:t>
      </w:r>
      <w:r w:rsidR="007B4072">
        <w:rPr>
          <w:rFonts w:ascii="Arial" w:hAnsi="Arial" w:cs="Arial"/>
          <w:b/>
        </w:rPr>
        <w:t xml:space="preserve">Jahre </w:t>
      </w:r>
      <w:r w:rsidR="002E544E" w:rsidRPr="002E544E">
        <w:rPr>
          <w:rFonts w:ascii="Arial" w:hAnsi="Arial" w:cs="Arial"/>
          <w:b/>
        </w:rPr>
        <w:t xml:space="preserve">nach dem Start </w:t>
      </w:r>
      <w:r w:rsidR="007B6097">
        <w:rPr>
          <w:rFonts w:ascii="Arial" w:hAnsi="Arial" w:cs="Arial"/>
          <w:b/>
        </w:rPr>
        <w:t>sind die Resultate beeindruckend:</w:t>
      </w:r>
      <w:r w:rsidR="002E544E">
        <w:rPr>
          <w:rFonts w:ascii="Arial" w:hAnsi="Arial" w:cs="Arial"/>
        </w:rPr>
        <w:t xml:space="preserve"> </w:t>
      </w:r>
      <w:bookmarkStart w:id="1" w:name="_Hlk489953298"/>
      <w:r w:rsidR="009F0A75" w:rsidRPr="009F0A75">
        <w:rPr>
          <w:rFonts w:ascii="Arial" w:hAnsi="Arial" w:cs="Arial"/>
          <w:b/>
        </w:rPr>
        <w:t>Die Angemessenheit der Arzneimitteltherapie wurde um 25 Prozent verbessert.</w:t>
      </w:r>
      <w:r w:rsidR="009F0A75">
        <w:rPr>
          <w:rFonts w:ascii="Arial" w:hAnsi="Arial" w:cs="Arial"/>
        </w:rPr>
        <w:t xml:space="preserve"> </w:t>
      </w:r>
      <w:r w:rsidR="00D772EF">
        <w:rPr>
          <w:rFonts w:ascii="Arial" w:hAnsi="Arial" w:cs="Arial"/>
          <w:b/>
        </w:rPr>
        <w:t>In</w:t>
      </w:r>
      <w:r w:rsidR="001062F9">
        <w:rPr>
          <w:rFonts w:ascii="Arial" w:hAnsi="Arial" w:cs="Arial"/>
          <w:b/>
        </w:rPr>
        <w:t xml:space="preserve"> </w:t>
      </w:r>
      <w:r w:rsidR="00AF5865">
        <w:rPr>
          <w:rFonts w:ascii="Arial" w:hAnsi="Arial" w:cs="Arial"/>
          <w:b/>
        </w:rPr>
        <w:t>Einzelf</w:t>
      </w:r>
      <w:r w:rsidR="00B95549">
        <w:rPr>
          <w:rFonts w:ascii="Arial" w:hAnsi="Arial" w:cs="Arial"/>
          <w:b/>
        </w:rPr>
        <w:t>ällen wurden</w:t>
      </w:r>
      <w:r w:rsidR="00280FDE">
        <w:rPr>
          <w:rFonts w:ascii="Arial" w:hAnsi="Arial" w:cs="Arial"/>
          <w:b/>
        </w:rPr>
        <w:t xml:space="preserve"> bis zu</w:t>
      </w:r>
      <w:r w:rsidR="00C97F99">
        <w:rPr>
          <w:rFonts w:ascii="Arial" w:hAnsi="Arial" w:cs="Arial"/>
          <w:b/>
        </w:rPr>
        <w:t xml:space="preserve"> </w:t>
      </w:r>
      <w:r w:rsidR="006F6937">
        <w:rPr>
          <w:rFonts w:ascii="Arial" w:hAnsi="Arial" w:cs="Arial"/>
          <w:b/>
        </w:rPr>
        <w:t>5</w:t>
      </w:r>
      <w:r w:rsidR="00CB43BA">
        <w:rPr>
          <w:rFonts w:ascii="Arial" w:hAnsi="Arial" w:cs="Arial"/>
          <w:b/>
        </w:rPr>
        <w:t xml:space="preserve"> Medika</w:t>
      </w:r>
      <w:r w:rsidR="00F6081E">
        <w:rPr>
          <w:rFonts w:ascii="Arial" w:hAnsi="Arial" w:cs="Arial"/>
          <w:b/>
        </w:rPr>
        <w:t xml:space="preserve">mente </w:t>
      </w:r>
      <w:r w:rsidR="00C97F99">
        <w:rPr>
          <w:rFonts w:ascii="Arial" w:hAnsi="Arial" w:cs="Arial"/>
          <w:b/>
        </w:rPr>
        <w:t>gestrichen</w:t>
      </w:r>
      <w:bookmarkEnd w:id="1"/>
      <w:r w:rsidR="00B95549">
        <w:rPr>
          <w:rFonts w:ascii="Arial" w:hAnsi="Arial" w:cs="Arial"/>
          <w:b/>
        </w:rPr>
        <w:t xml:space="preserve">. </w:t>
      </w:r>
      <w:r w:rsidR="009F0A75">
        <w:rPr>
          <w:rFonts w:ascii="Arial" w:hAnsi="Arial" w:cs="Arial"/>
          <w:b/>
        </w:rPr>
        <w:t>Üb</w:t>
      </w:r>
      <w:r w:rsidR="00D772EF">
        <w:rPr>
          <w:rFonts w:ascii="Arial" w:hAnsi="Arial" w:cs="Arial"/>
          <w:b/>
        </w:rPr>
        <w:t xml:space="preserve">ermedikation </w:t>
      </w:r>
      <w:r w:rsidR="00B95549">
        <w:rPr>
          <w:rFonts w:ascii="Arial" w:hAnsi="Arial" w:cs="Arial"/>
          <w:b/>
        </w:rPr>
        <w:t xml:space="preserve">konnte </w:t>
      </w:r>
      <w:r w:rsidR="00D772EF">
        <w:rPr>
          <w:rFonts w:ascii="Arial" w:hAnsi="Arial" w:cs="Arial"/>
          <w:b/>
        </w:rPr>
        <w:t xml:space="preserve">generell vermieden werden. </w:t>
      </w:r>
      <w:r w:rsidR="009F0A75">
        <w:rPr>
          <w:rFonts w:ascii="Arial" w:hAnsi="Arial" w:cs="Arial"/>
          <w:b/>
        </w:rPr>
        <w:t>Herzstück der gemeinsamen Arbeit von 15 Hausärzten, 12 Apotheke</w:t>
      </w:r>
      <w:r w:rsidR="00F6081E">
        <w:rPr>
          <w:rFonts w:ascii="Arial" w:hAnsi="Arial" w:cs="Arial"/>
          <w:b/>
        </w:rPr>
        <w:t xml:space="preserve">n und </w:t>
      </w:r>
      <w:r w:rsidR="009F0A75">
        <w:rPr>
          <w:rFonts w:ascii="Arial" w:hAnsi="Arial" w:cs="Arial"/>
          <w:b/>
        </w:rPr>
        <w:t xml:space="preserve">dem </w:t>
      </w:r>
      <w:r w:rsidR="00C97F99">
        <w:rPr>
          <w:rFonts w:ascii="Arial" w:hAnsi="Arial" w:cs="Arial"/>
          <w:b/>
        </w:rPr>
        <w:t xml:space="preserve">Pflegepersonal </w:t>
      </w:r>
      <w:r w:rsidR="009F0A75">
        <w:rPr>
          <w:rFonts w:ascii="Arial" w:hAnsi="Arial" w:cs="Arial"/>
          <w:b/>
        </w:rPr>
        <w:t xml:space="preserve">aus 10 </w:t>
      </w:r>
      <w:proofErr w:type="spellStart"/>
      <w:r w:rsidR="009F0A75">
        <w:rPr>
          <w:rFonts w:ascii="Arial" w:hAnsi="Arial" w:cs="Arial"/>
          <w:b/>
        </w:rPr>
        <w:t>münsterischen</w:t>
      </w:r>
      <w:proofErr w:type="spellEnd"/>
      <w:r w:rsidR="009F0A75">
        <w:rPr>
          <w:rFonts w:ascii="Arial" w:hAnsi="Arial" w:cs="Arial"/>
          <w:b/>
        </w:rPr>
        <w:t xml:space="preserve"> Altenh</w:t>
      </w:r>
      <w:r w:rsidR="007B4072">
        <w:rPr>
          <w:rFonts w:ascii="Arial" w:hAnsi="Arial" w:cs="Arial"/>
          <w:b/>
        </w:rPr>
        <w:t>ilfeeinrichtungen</w:t>
      </w:r>
      <w:r w:rsidR="009F0A75">
        <w:rPr>
          <w:rFonts w:ascii="Arial" w:hAnsi="Arial" w:cs="Arial"/>
          <w:b/>
        </w:rPr>
        <w:t xml:space="preserve"> ist </w:t>
      </w:r>
      <w:r w:rsidR="00C97F99">
        <w:rPr>
          <w:rFonts w:ascii="Arial" w:hAnsi="Arial" w:cs="Arial"/>
          <w:b/>
        </w:rPr>
        <w:t>eine Online-Plattform</w:t>
      </w:r>
      <w:r w:rsidR="00DC7A10">
        <w:rPr>
          <w:rFonts w:ascii="Arial" w:hAnsi="Arial" w:cs="Arial"/>
          <w:b/>
        </w:rPr>
        <w:t>,</w:t>
      </w:r>
      <w:r w:rsidR="00C97F99">
        <w:rPr>
          <w:rFonts w:ascii="Arial" w:hAnsi="Arial" w:cs="Arial"/>
          <w:b/>
        </w:rPr>
        <w:t xml:space="preserve"> d</w:t>
      </w:r>
      <w:r w:rsidR="00F6081E">
        <w:rPr>
          <w:rFonts w:ascii="Arial" w:hAnsi="Arial" w:cs="Arial"/>
          <w:b/>
        </w:rPr>
        <w:t>ie inzwischen zum Patent angemeldet ist. Die Ergebnis</w:t>
      </w:r>
      <w:r w:rsidR="002E544E">
        <w:rPr>
          <w:rFonts w:ascii="Arial" w:hAnsi="Arial" w:cs="Arial"/>
          <w:b/>
        </w:rPr>
        <w:t>s</w:t>
      </w:r>
      <w:r w:rsidR="008F063E">
        <w:rPr>
          <w:rFonts w:ascii="Arial" w:hAnsi="Arial" w:cs="Arial"/>
          <w:b/>
        </w:rPr>
        <w:t>e des</w:t>
      </w:r>
      <w:r w:rsidR="009F0A75">
        <w:rPr>
          <w:rFonts w:ascii="Arial" w:hAnsi="Arial" w:cs="Arial"/>
          <w:b/>
        </w:rPr>
        <w:t xml:space="preserve"> Projektes</w:t>
      </w:r>
      <w:r w:rsidR="00F6081E">
        <w:rPr>
          <w:rFonts w:ascii="Arial" w:hAnsi="Arial" w:cs="Arial"/>
          <w:b/>
        </w:rPr>
        <w:t xml:space="preserve"> </w:t>
      </w:r>
      <w:r w:rsidR="00DE2F3A">
        <w:rPr>
          <w:rFonts w:ascii="Arial" w:hAnsi="Arial" w:cs="Arial"/>
          <w:b/>
        </w:rPr>
        <w:t>gelten</w:t>
      </w:r>
      <w:r w:rsidR="001B734A">
        <w:rPr>
          <w:rFonts w:ascii="Arial" w:hAnsi="Arial" w:cs="Arial"/>
          <w:b/>
        </w:rPr>
        <w:t xml:space="preserve"> </w:t>
      </w:r>
      <w:r w:rsidR="0035622F">
        <w:rPr>
          <w:rFonts w:ascii="Arial" w:hAnsi="Arial" w:cs="Arial"/>
          <w:b/>
        </w:rPr>
        <w:t xml:space="preserve">als </w:t>
      </w:r>
      <w:r w:rsidR="0024075F">
        <w:rPr>
          <w:rFonts w:ascii="Arial" w:hAnsi="Arial" w:cs="Arial"/>
          <w:b/>
        </w:rPr>
        <w:t xml:space="preserve">bedeutsam </w:t>
      </w:r>
      <w:r w:rsidR="00F6081E">
        <w:rPr>
          <w:rFonts w:ascii="Arial" w:hAnsi="Arial" w:cs="Arial"/>
          <w:b/>
        </w:rPr>
        <w:t>für die Zukunft der Altenpflege</w:t>
      </w:r>
      <w:r w:rsidR="0035622F">
        <w:rPr>
          <w:rFonts w:ascii="Arial" w:hAnsi="Arial" w:cs="Arial"/>
          <w:b/>
        </w:rPr>
        <w:t>.</w:t>
      </w:r>
    </w:p>
    <w:p w14:paraId="2F7F7E01" w14:textId="77777777" w:rsidR="000563D7" w:rsidRDefault="000563D7" w:rsidP="001F5774">
      <w:pPr>
        <w:pStyle w:val="Kopfzeile"/>
        <w:spacing w:line="360" w:lineRule="auto"/>
        <w:ind w:right="-1"/>
        <w:rPr>
          <w:rFonts w:ascii="Arial" w:hAnsi="Arial" w:cs="Arial"/>
          <w:b/>
        </w:rPr>
      </w:pPr>
    </w:p>
    <w:p w14:paraId="735C64A5" w14:textId="7103F6E0" w:rsidR="002200E0" w:rsidRPr="002200E0" w:rsidRDefault="00CB43BA" w:rsidP="001F5774">
      <w:pPr>
        <w:pStyle w:val="Kopfzeile"/>
        <w:spacing w:line="360" w:lineRule="auto"/>
        <w:ind w:right="-1"/>
        <w:rPr>
          <w:rFonts w:ascii="Arial" w:hAnsi="Arial" w:cs="Arial"/>
        </w:rPr>
      </w:pPr>
      <w:r w:rsidRPr="000563D7">
        <w:rPr>
          <w:rFonts w:ascii="Arial" w:hAnsi="Arial" w:cs="Arial"/>
        </w:rPr>
        <w:t xml:space="preserve">In dem </w:t>
      </w:r>
      <w:r w:rsidR="000563D7">
        <w:rPr>
          <w:rFonts w:ascii="Arial" w:hAnsi="Arial" w:cs="Arial"/>
        </w:rPr>
        <w:t>seit Anfang 2016</w:t>
      </w:r>
      <w:r w:rsidRPr="000563D7">
        <w:rPr>
          <w:rFonts w:ascii="Arial" w:hAnsi="Arial" w:cs="Arial"/>
        </w:rPr>
        <w:t xml:space="preserve"> laufenden Projekt </w:t>
      </w:r>
      <w:r w:rsidR="000563D7" w:rsidRPr="000563D7">
        <w:rPr>
          <w:rFonts w:ascii="Arial" w:hAnsi="Arial" w:cs="Arial"/>
        </w:rPr>
        <w:t>wurde</w:t>
      </w:r>
      <w:r w:rsidRPr="000563D7">
        <w:rPr>
          <w:rFonts w:ascii="Arial" w:hAnsi="Arial" w:cs="Arial"/>
        </w:rPr>
        <w:t xml:space="preserve"> die Arz</w:t>
      </w:r>
      <w:r w:rsidR="001E07BF">
        <w:rPr>
          <w:rFonts w:ascii="Arial" w:hAnsi="Arial" w:cs="Arial"/>
        </w:rPr>
        <w:t xml:space="preserve">neimittelversorgung bei </w:t>
      </w:r>
      <w:r w:rsidR="0031705C">
        <w:rPr>
          <w:rFonts w:ascii="Arial" w:hAnsi="Arial" w:cs="Arial"/>
        </w:rPr>
        <w:t>rund 90</w:t>
      </w:r>
      <w:r w:rsidR="001062F9" w:rsidRPr="000563D7">
        <w:rPr>
          <w:rFonts w:ascii="Arial" w:hAnsi="Arial" w:cs="Arial"/>
        </w:rPr>
        <w:t xml:space="preserve"> </w:t>
      </w:r>
      <w:r w:rsidRPr="000563D7">
        <w:rPr>
          <w:rFonts w:ascii="Arial" w:hAnsi="Arial" w:cs="Arial"/>
        </w:rPr>
        <w:t xml:space="preserve">Patienten </w:t>
      </w:r>
      <w:r w:rsidR="000563D7" w:rsidRPr="000563D7">
        <w:rPr>
          <w:rFonts w:ascii="Arial" w:hAnsi="Arial" w:cs="Arial"/>
        </w:rPr>
        <w:t>gemeinsam durch Ärzte, Apotheker und Pflegende überprüft</w:t>
      </w:r>
      <w:r w:rsidR="002E544E">
        <w:rPr>
          <w:rFonts w:ascii="Arial" w:hAnsi="Arial" w:cs="Arial"/>
        </w:rPr>
        <w:t xml:space="preserve"> und optimiert</w:t>
      </w:r>
      <w:r w:rsidR="00341428" w:rsidRPr="000563D7">
        <w:rPr>
          <w:rFonts w:ascii="Arial" w:hAnsi="Arial" w:cs="Arial"/>
        </w:rPr>
        <w:t xml:space="preserve">. </w:t>
      </w:r>
      <w:r w:rsidR="001E07BF">
        <w:rPr>
          <w:rFonts w:ascii="Arial" w:hAnsi="Arial" w:cs="Arial"/>
        </w:rPr>
        <w:t xml:space="preserve">Es wurden </w:t>
      </w:r>
      <w:r w:rsidR="00D772EF">
        <w:rPr>
          <w:rFonts w:ascii="Arial" w:hAnsi="Arial" w:cs="Arial"/>
        </w:rPr>
        <w:t xml:space="preserve">verschiedene </w:t>
      </w:r>
      <w:r w:rsidR="00DC7A10">
        <w:rPr>
          <w:rFonts w:ascii="Arial" w:hAnsi="Arial" w:cs="Arial"/>
        </w:rPr>
        <w:t xml:space="preserve">Probleme in den Medikationen der </w:t>
      </w:r>
      <w:r w:rsidR="00E06973">
        <w:rPr>
          <w:rFonts w:ascii="Arial" w:hAnsi="Arial" w:cs="Arial"/>
        </w:rPr>
        <w:t>Altenheimbewohner erkannt</w:t>
      </w:r>
      <w:r w:rsidR="00DC7A10">
        <w:rPr>
          <w:rFonts w:ascii="Arial" w:hAnsi="Arial" w:cs="Arial"/>
        </w:rPr>
        <w:t>.</w:t>
      </w:r>
      <w:r w:rsidR="001E07BF">
        <w:rPr>
          <w:rFonts w:ascii="Arial" w:hAnsi="Arial" w:cs="Arial"/>
        </w:rPr>
        <w:t xml:space="preserve"> </w:t>
      </w:r>
      <w:r w:rsidR="0003607F">
        <w:rPr>
          <w:rFonts w:ascii="Arial" w:hAnsi="Arial" w:cs="Arial"/>
        </w:rPr>
        <w:t>„</w:t>
      </w:r>
      <w:r w:rsidR="00C760BA">
        <w:rPr>
          <w:rFonts w:ascii="Arial" w:hAnsi="Arial" w:cs="Arial"/>
        </w:rPr>
        <w:t>Teilweise</w:t>
      </w:r>
      <w:r w:rsidR="001E07BF">
        <w:rPr>
          <w:rFonts w:ascii="Arial" w:hAnsi="Arial" w:cs="Arial"/>
        </w:rPr>
        <w:t xml:space="preserve"> fehlten klare Anweisungen zum richtigen Vorgehen. </w:t>
      </w:r>
      <w:r w:rsidR="00C8694D">
        <w:rPr>
          <w:rFonts w:ascii="Arial" w:hAnsi="Arial" w:cs="Arial"/>
        </w:rPr>
        <w:t>Zum Teil</w:t>
      </w:r>
      <w:r w:rsidR="00341428" w:rsidRPr="000563D7">
        <w:rPr>
          <w:rFonts w:ascii="Arial" w:hAnsi="Arial" w:cs="Arial"/>
        </w:rPr>
        <w:t xml:space="preserve"> wurde</w:t>
      </w:r>
      <w:r w:rsidR="00F6081E" w:rsidRPr="000563D7">
        <w:rPr>
          <w:rFonts w:ascii="Arial" w:hAnsi="Arial" w:cs="Arial"/>
        </w:rPr>
        <w:t>n</w:t>
      </w:r>
      <w:r w:rsidR="00341428" w:rsidRPr="000563D7">
        <w:rPr>
          <w:rFonts w:ascii="Arial" w:hAnsi="Arial" w:cs="Arial"/>
        </w:rPr>
        <w:t xml:space="preserve"> durch Austausch eines unverträglichen Medikamentes </w:t>
      </w:r>
      <w:r w:rsidR="00F6081E" w:rsidRPr="000563D7">
        <w:rPr>
          <w:rFonts w:ascii="Arial" w:hAnsi="Arial" w:cs="Arial"/>
        </w:rPr>
        <w:t>g</w:t>
      </w:r>
      <w:r w:rsidRPr="000563D7">
        <w:rPr>
          <w:rFonts w:ascii="Arial" w:hAnsi="Arial" w:cs="Arial"/>
        </w:rPr>
        <w:t xml:space="preserve">efährliche oder unangenehme Nebenwirkungen </w:t>
      </w:r>
      <w:r w:rsidR="0003607F">
        <w:rPr>
          <w:rFonts w:ascii="Arial" w:hAnsi="Arial" w:cs="Arial"/>
        </w:rPr>
        <w:t xml:space="preserve">verringert“, </w:t>
      </w:r>
      <w:r w:rsidR="002200E0">
        <w:rPr>
          <w:rFonts w:ascii="Arial" w:hAnsi="Arial" w:cs="Arial"/>
        </w:rPr>
        <w:t>fasst</w:t>
      </w:r>
      <w:r w:rsidR="0003607F">
        <w:rPr>
          <w:rFonts w:ascii="Arial" w:hAnsi="Arial" w:cs="Arial"/>
        </w:rPr>
        <w:t xml:space="preserve"> Projektleiter Prof. Dr. Dr. h.</w:t>
      </w:r>
      <w:r w:rsidR="000926B1">
        <w:rPr>
          <w:rFonts w:ascii="Arial" w:hAnsi="Arial" w:cs="Arial"/>
        </w:rPr>
        <w:t>c</w:t>
      </w:r>
      <w:r w:rsidR="0003607F">
        <w:rPr>
          <w:rFonts w:ascii="Arial" w:hAnsi="Arial" w:cs="Arial"/>
        </w:rPr>
        <w:t>. Jürgen Osterbrink</w:t>
      </w:r>
      <w:r w:rsidR="002200E0">
        <w:rPr>
          <w:rFonts w:ascii="Arial" w:hAnsi="Arial" w:cs="Arial"/>
        </w:rPr>
        <w:t xml:space="preserve"> das Vorgehen zusammen</w:t>
      </w:r>
      <w:r w:rsidR="0003607F">
        <w:rPr>
          <w:rFonts w:ascii="Arial" w:hAnsi="Arial" w:cs="Arial"/>
        </w:rPr>
        <w:t>.</w:t>
      </w:r>
      <w:r w:rsidR="004B5A1F">
        <w:rPr>
          <w:rFonts w:ascii="Arial" w:hAnsi="Arial" w:cs="Arial"/>
        </w:rPr>
        <w:t xml:space="preserve"> </w:t>
      </w:r>
      <w:r w:rsidR="004058BB">
        <w:rPr>
          <w:rFonts w:ascii="Arial" w:hAnsi="Arial" w:cs="Arial"/>
        </w:rPr>
        <w:t>„</w:t>
      </w:r>
      <w:r w:rsidR="004B5A1F">
        <w:rPr>
          <w:rFonts w:ascii="Arial" w:hAnsi="Arial" w:cs="Arial"/>
        </w:rPr>
        <w:t>Der</w:t>
      </w:r>
      <w:r w:rsidR="002200E0" w:rsidRPr="002200E0">
        <w:rPr>
          <w:rFonts w:ascii="Arial" w:hAnsi="Arial" w:cs="Arial"/>
        </w:rPr>
        <w:t xml:space="preserve"> durchschnittliche Altenheimbewohner in Münster </w:t>
      </w:r>
      <w:r w:rsidR="004B5A1F">
        <w:rPr>
          <w:rFonts w:ascii="Arial" w:hAnsi="Arial" w:cs="Arial"/>
        </w:rPr>
        <w:t>nimmt pro Tag etwa 12 Medikamente</w:t>
      </w:r>
      <w:r w:rsidR="006627BA">
        <w:rPr>
          <w:rFonts w:ascii="Arial" w:hAnsi="Arial" w:cs="Arial"/>
        </w:rPr>
        <w:t>,</w:t>
      </w:r>
      <w:r w:rsidR="002200E0" w:rsidRPr="002200E0">
        <w:rPr>
          <w:rFonts w:ascii="Arial" w:hAnsi="Arial" w:cs="Arial"/>
        </w:rPr>
        <w:t xml:space="preserve"> vor allem gegen Herz-Kreislauf-Erkrankungen, Demenz</w:t>
      </w:r>
      <w:r w:rsidR="00C8694D">
        <w:rPr>
          <w:rFonts w:ascii="Arial" w:hAnsi="Arial" w:cs="Arial"/>
        </w:rPr>
        <w:t xml:space="preserve"> oder</w:t>
      </w:r>
      <w:r w:rsidR="002200E0" w:rsidRPr="002200E0">
        <w:rPr>
          <w:rFonts w:ascii="Arial" w:hAnsi="Arial" w:cs="Arial"/>
        </w:rPr>
        <w:t xml:space="preserve"> Depression</w:t>
      </w:r>
      <w:r w:rsidR="004058BB">
        <w:rPr>
          <w:rFonts w:ascii="Arial" w:hAnsi="Arial" w:cs="Arial"/>
        </w:rPr>
        <w:t>“</w:t>
      </w:r>
      <w:r w:rsidR="00857CEB">
        <w:rPr>
          <w:rFonts w:ascii="Arial" w:hAnsi="Arial" w:cs="Arial"/>
        </w:rPr>
        <w:t>,</w:t>
      </w:r>
      <w:r w:rsidR="004058BB">
        <w:rPr>
          <w:rFonts w:ascii="Arial" w:hAnsi="Arial" w:cs="Arial"/>
        </w:rPr>
        <w:t xml:space="preserve"> so der Leiter des Instit</w:t>
      </w:r>
      <w:r w:rsidR="00FD2531">
        <w:rPr>
          <w:rFonts w:ascii="Arial" w:hAnsi="Arial" w:cs="Arial"/>
        </w:rPr>
        <w:t>uts für Pflegewissenschaft und -p</w:t>
      </w:r>
      <w:r w:rsidR="004058BB">
        <w:rPr>
          <w:rFonts w:ascii="Arial" w:hAnsi="Arial" w:cs="Arial"/>
        </w:rPr>
        <w:t xml:space="preserve">raxis an der Paracelsus </w:t>
      </w:r>
      <w:r w:rsidR="00FD2531">
        <w:rPr>
          <w:rFonts w:ascii="Arial" w:hAnsi="Arial" w:cs="Arial"/>
        </w:rPr>
        <w:t>M</w:t>
      </w:r>
      <w:r w:rsidR="004058BB">
        <w:rPr>
          <w:rFonts w:ascii="Arial" w:hAnsi="Arial" w:cs="Arial"/>
        </w:rPr>
        <w:t xml:space="preserve">edizinischen Privatuniversität. </w:t>
      </w:r>
      <w:r w:rsidR="002200E0" w:rsidRPr="002200E0">
        <w:rPr>
          <w:rFonts w:ascii="Arial" w:hAnsi="Arial" w:cs="Arial"/>
        </w:rPr>
        <w:t xml:space="preserve">Gerade bei den Patienten, die besonders viele Verordnungen hatten, </w:t>
      </w:r>
      <w:r w:rsidR="004058BB">
        <w:rPr>
          <w:rFonts w:ascii="Arial" w:hAnsi="Arial" w:cs="Arial"/>
        </w:rPr>
        <w:t>habe</w:t>
      </w:r>
      <w:r w:rsidR="002200E0" w:rsidRPr="002200E0">
        <w:rPr>
          <w:rFonts w:ascii="Arial" w:hAnsi="Arial" w:cs="Arial"/>
        </w:rPr>
        <w:t xml:space="preserve"> die Zahl reduziert werden</w:t>
      </w:r>
      <w:r w:rsidR="004058BB">
        <w:rPr>
          <w:rFonts w:ascii="Arial" w:hAnsi="Arial" w:cs="Arial"/>
        </w:rPr>
        <w:t xml:space="preserve"> können</w:t>
      </w:r>
      <w:r w:rsidR="002200E0" w:rsidRPr="002200E0">
        <w:rPr>
          <w:rFonts w:ascii="Arial" w:hAnsi="Arial" w:cs="Arial"/>
        </w:rPr>
        <w:t xml:space="preserve">. </w:t>
      </w:r>
      <w:r w:rsidR="004058BB">
        <w:rPr>
          <w:rFonts w:ascii="Arial" w:hAnsi="Arial" w:cs="Arial"/>
        </w:rPr>
        <w:t>„</w:t>
      </w:r>
      <w:r w:rsidR="002200E0" w:rsidRPr="002200E0">
        <w:rPr>
          <w:rFonts w:ascii="Arial" w:hAnsi="Arial" w:cs="Arial"/>
        </w:rPr>
        <w:t xml:space="preserve">Bei allen anderen wurde vor allem die Kombination der verschiedenen Arzneimittel von den Hausärzten nach einer </w:t>
      </w:r>
      <w:r w:rsidR="00C97D67">
        <w:rPr>
          <w:rFonts w:ascii="Arial" w:hAnsi="Arial" w:cs="Arial"/>
        </w:rPr>
        <w:t xml:space="preserve">gemeinsamen </w:t>
      </w:r>
      <w:r w:rsidR="002200E0" w:rsidRPr="002200E0">
        <w:rPr>
          <w:rFonts w:ascii="Arial" w:hAnsi="Arial" w:cs="Arial"/>
        </w:rPr>
        <w:t xml:space="preserve">kritischen Überprüfung </w:t>
      </w:r>
      <w:r w:rsidR="00C97D67">
        <w:rPr>
          <w:rFonts w:ascii="Arial" w:hAnsi="Arial" w:cs="Arial"/>
        </w:rPr>
        <w:t>mit den</w:t>
      </w:r>
      <w:r w:rsidR="002200E0" w:rsidRPr="002200E0">
        <w:rPr>
          <w:rFonts w:ascii="Arial" w:hAnsi="Arial" w:cs="Arial"/>
        </w:rPr>
        <w:t xml:space="preserve"> beteiligten Apotheker</w:t>
      </w:r>
      <w:r w:rsidR="006627BA">
        <w:rPr>
          <w:rFonts w:ascii="Arial" w:hAnsi="Arial" w:cs="Arial"/>
        </w:rPr>
        <w:t>n</w:t>
      </w:r>
      <w:r w:rsidR="002200E0" w:rsidRPr="002200E0">
        <w:rPr>
          <w:rFonts w:ascii="Arial" w:hAnsi="Arial" w:cs="Arial"/>
        </w:rPr>
        <w:t xml:space="preserve"> optimiert</w:t>
      </w:r>
      <w:r w:rsidR="004058BB">
        <w:rPr>
          <w:rFonts w:ascii="Arial" w:hAnsi="Arial" w:cs="Arial"/>
        </w:rPr>
        <w:t xml:space="preserve">“, so der Pflegewissenschaftler. </w:t>
      </w:r>
    </w:p>
    <w:p w14:paraId="137B1189" w14:textId="77777777" w:rsidR="002200E0" w:rsidRDefault="002200E0" w:rsidP="001F5774">
      <w:pPr>
        <w:pStyle w:val="Kopfzeile"/>
        <w:spacing w:line="360" w:lineRule="auto"/>
        <w:ind w:right="-1"/>
        <w:rPr>
          <w:rFonts w:ascii="Arial" w:hAnsi="Arial" w:cs="Arial"/>
        </w:rPr>
      </w:pPr>
    </w:p>
    <w:p w14:paraId="5D304079" w14:textId="77777777" w:rsidR="006627BA" w:rsidRDefault="0003607F" w:rsidP="001F5774">
      <w:pPr>
        <w:pStyle w:val="Kopfzeile"/>
        <w:spacing w:line="360" w:lineRule="auto"/>
        <w:ind w:right="-1"/>
        <w:rPr>
          <w:rFonts w:ascii="Arial" w:hAnsi="Arial" w:cs="Arial"/>
        </w:rPr>
      </w:pPr>
      <w:r w:rsidRPr="000563D7">
        <w:rPr>
          <w:rFonts w:ascii="Arial" w:hAnsi="Arial" w:cs="Arial"/>
        </w:rPr>
        <w:lastRenderedPageBreak/>
        <w:t xml:space="preserve">Das Befinden vieler Teilnehmer </w:t>
      </w:r>
      <w:r w:rsidR="00FF4F82">
        <w:rPr>
          <w:rFonts w:ascii="Arial" w:hAnsi="Arial" w:cs="Arial"/>
        </w:rPr>
        <w:t>besserte sich</w:t>
      </w:r>
      <w:r w:rsidRPr="000563D7">
        <w:rPr>
          <w:rFonts w:ascii="Arial" w:hAnsi="Arial" w:cs="Arial"/>
        </w:rPr>
        <w:t xml:space="preserve"> </w:t>
      </w:r>
      <w:r w:rsidR="00FF4F82">
        <w:rPr>
          <w:rFonts w:ascii="Arial" w:hAnsi="Arial" w:cs="Arial"/>
        </w:rPr>
        <w:t>im Projektverlauf deutlich. Vor allem die Neigung zum Delir sank</w:t>
      </w:r>
      <w:r w:rsidR="00857CEB">
        <w:rPr>
          <w:rFonts w:ascii="Arial" w:hAnsi="Arial" w:cs="Arial"/>
        </w:rPr>
        <w:t>,</w:t>
      </w:r>
      <w:r w:rsidR="002D6C6F">
        <w:rPr>
          <w:rFonts w:ascii="Arial" w:hAnsi="Arial" w:cs="Arial"/>
        </w:rPr>
        <w:t xml:space="preserve"> und das Wohlbefinden sowie</w:t>
      </w:r>
      <w:r w:rsidR="00FF4F82">
        <w:rPr>
          <w:rFonts w:ascii="Arial" w:hAnsi="Arial" w:cs="Arial"/>
        </w:rPr>
        <w:t xml:space="preserve"> die kognitive Leistungsfähigkeit konnte</w:t>
      </w:r>
      <w:r w:rsidR="002D6C6F">
        <w:rPr>
          <w:rFonts w:ascii="Arial" w:hAnsi="Arial" w:cs="Arial"/>
        </w:rPr>
        <w:t>n</w:t>
      </w:r>
      <w:r w:rsidR="00FF4F82">
        <w:rPr>
          <w:rFonts w:ascii="Arial" w:hAnsi="Arial" w:cs="Arial"/>
        </w:rPr>
        <w:t xml:space="preserve"> stabilisiert werden</w:t>
      </w:r>
      <w:r w:rsidR="00FF4F82" w:rsidRPr="00C63E3B">
        <w:rPr>
          <w:rFonts w:ascii="Arial" w:hAnsi="Arial" w:cs="Arial"/>
        </w:rPr>
        <w:t>.</w:t>
      </w:r>
      <w:r w:rsidRPr="00C63E3B">
        <w:rPr>
          <w:rFonts w:ascii="Arial" w:hAnsi="Arial" w:cs="Arial"/>
        </w:rPr>
        <w:t xml:space="preserve"> „Der MAI-Wert, mit dem die Angemessenheit </w:t>
      </w:r>
      <w:r w:rsidR="000437AE" w:rsidRPr="00C63E3B">
        <w:rPr>
          <w:rFonts w:ascii="Arial" w:hAnsi="Arial" w:cs="Arial"/>
        </w:rPr>
        <w:t xml:space="preserve">der </w:t>
      </w:r>
      <w:r w:rsidRPr="00C63E3B">
        <w:rPr>
          <w:rFonts w:ascii="Arial" w:hAnsi="Arial" w:cs="Arial"/>
        </w:rPr>
        <w:t xml:space="preserve">Medikation </w:t>
      </w:r>
      <w:r w:rsidR="000437AE" w:rsidRPr="00C63E3B">
        <w:rPr>
          <w:rFonts w:ascii="Arial" w:hAnsi="Arial" w:cs="Arial"/>
        </w:rPr>
        <w:t>definiert wurde</w:t>
      </w:r>
      <w:r w:rsidRPr="00C63E3B">
        <w:rPr>
          <w:rFonts w:ascii="Arial" w:hAnsi="Arial" w:cs="Arial"/>
        </w:rPr>
        <w:t>, sank im Durchschnitt um 5 Punkte. Das entspricht einer statistischen Verbesserung um rund 25 Prozent“, so Prof. Dr. Georg Hempel. Gerade bei Patienten, die vorher sehr viele Medikamente einnehmen mussten, waren die Erfolge besonders beeindruckend.</w:t>
      </w:r>
      <w:r w:rsidR="006909BF" w:rsidRPr="00C63E3B">
        <w:rPr>
          <w:rFonts w:ascii="Arial" w:hAnsi="Arial" w:cs="Arial"/>
        </w:rPr>
        <w:t xml:space="preserve"> „In solchen </w:t>
      </w:r>
      <w:r w:rsidR="00FF4F82" w:rsidRPr="00C63E3B">
        <w:rPr>
          <w:rFonts w:ascii="Arial" w:hAnsi="Arial" w:cs="Arial"/>
        </w:rPr>
        <w:t xml:space="preserve">Fällen </w:t>
      </w:r>
      <w:r w:rsidR="006909BF" w:rsidRPr="00C63E3B">
        <w:rPr>
          <w:rFonts w:ascii="Arial" w:hAnsi="Arial" w:cs="Arial"/>
        </w:rPr>
        <w:t>konnten wir eine Verbesserung um bis zu 60 Prozent beobachten“, so der Experte vom Institut für Pharmazeutische und Medizinische Chemie der Westfälischen</w:t>
      </w:r>
      <w:r w:rsidR="00837B28" w:rsidRPr="00C63E3B">
        <w:rPr>
          <w:rFonts w:ascii="Arial" w:hAnsi="Arial" w:cs="Arial"/>
        </w:rPr>
        <w:t xml:space="preserve"> </w:t>
      </w:r>
      <w:r w:rsidR="006909BF" w:rsidRPr="00C63E3B">
        <w:rPr>
          <w:rFonts w:ascii="Arial" w:hAnsi="Arial" w:cs="Arial"/>
        </w:rPr>
        <w:t>Wilhelms</w:t>
      </w:r>
      <w:r w:rsidR="00837B28" w:rsidRPr="00C63E3B">
        <w:rPr>
          <w:rFonts w:ascii="Arial" w:hAnsi="Arial" w:cs="Arial"/>
        </w:rPr>
        <w:t>-</w:t>
      </w:r>
      <w:r w:rsidR="006909BF" w:rsidRPr="00C63E3B">
        <w:rPr>
          <w:rFonts w:ascii="Arial" w:hAnsi="Arial" w:cs="Arial"/>
        </w:rPr>
        <w:t>Universität Münster</w:t>
      </w:r>
      <w:r w:rsidR="006909BF" w:rsidRPr="00B85F85">
        <w:rPr>
          <w:rFonts w:ascii="Arial" w:hAnsi="Arial" w:cs="Arial"/>
        </w:rPr>
        <w:t>.</w:t>
      </w:r>
      <w:r w:rsidR="00FF4F82" w:rsidRPr="00B85F85">
        <w:rPr>
          <w:rFonts w:ascii="Arial" w:hAnsi="Arial" w:cs="Arial"/>
        </w:rPr>
        <w:t xml:space="preserve"> Vor dem Hintergrund, dass rund 30 Prozent aller Krankenhauseinweisungen bei alten Menschen auf Arzneimittelunverträglichkeiten zurückzuführen seien, sei eine ständige kritische Überprüfung der Medikation gerade bei alten Menschen sehr wichtig.</w:t>
      </w:r>
      <w:r w:rsidR="000C76E1" w:rsidRPr="00B85F85">
        <w:rPr>
          <w:rFonts w:ascii="Arial" w:hAnsi="Arial" w:cs="Arial"/>
        </w:rPr>
        <w:t xml:space="preserve"> </w:t>
      </w:r>
      <w:r w:rsidR="000437AE" w:rsidRPr="00B85F85">
        <w:rPr>
          <w:rFonts w:ascii="Arial" w:hAnsi="Arial" w:cs="Arial"/>
        </w:rPr>
        <w:t>„Wir brauchen gerade bei diesen Patienten eine individualisierte Arznei</w:t>
      </w:r>
      <w:r w:rsidR="00C8694D" w:rsidRPr="00B85F85">
        <w:rPr>
          <w:rFonts w:ascii="Arial" w:hAnsi="Arial" w:cs="Arial"/>
        </w:rPr>
        <w:t>mittel</w:t>
      </w:r>
      <w:r w:rsidR="000437AE" w:rsidRPr="00B85F85">
        <w:rPr>
          <w:rFonts w:ascii="Arial" w:hAnsi="Arial" w:cs="Arial"/>
        </w:rPr>
        <w:t>therapie unter Beachtu</w:t>
      </w:r>
      <w:r w:rsidR="006627BA">
        <w:rPr>
          <w:rFonts w:ascii="Arial" w:hAnsi="Arial" w:cs="Arial"/>
        </w:rPr>
        <w:t xml:space="preserve">ng der pharmakokinetischen und </w:t>
      </w:r>
    </w:p>
    <w:p w14:paraId="42C9DC21" w14:textId="1F265C8B" w:rsidR="0003607F" w:rsidRPr="00B85F85" w:rsidRDefault="006627BA" w:rsidP="001F5774">
      <w:pPr>
        <w:pStyle w:val="Kopfzeile"/>
        <w:spacing w:line="360" w:lineRule="auto"/>
        <w:ind w:right="-1"/>
        <w:rPr>
          <w:rFonts w:ascii="Arial" w:hAnsi="Arial" w:cs="Arial"/>
        </w:rPr>
      </w:pPr>
      <w:r>
        <w:rPr>
          <w:rFonts w:ascii="Arial" w:hAnsi="Arial" w:cs="Arial"/>
        </w:rPr>
        <w:t>-</w:t>
      </w:r>
      <w:r w:rsidR="000437AE" w:rsidRPr="00B85F85">
        <w:rPr>
          <w:rFonts w:ascii="Arial" w:hAnsi="Arial" w:cs="Arial"/>
        </w:rPr>
        <w:t>dynamischen Besonderheiten im Alter.“</w:t>
      </w:r>
    </w:p>
    <w:p w14:paraId="38AF9465" w14:textId="77777777" w:rsidR="00FF4F82" w:rsidRPr="00B85F85" w:rsidRDefault="00FF4F82" w:rsidP="001F5774">
      <w:pPr>
        <w:pStyle w:val="Kopfzeile"/>
        <w:spacing w:line="360" w:lineRule="auto"/>
        <w:ind w:right="-1"/>
        <w:rPr>
          <w:rFonts w:ascii="Arial" w:hAnsi="Arial" w:cs="Arial"/>
        </w:rPr>
      </w:pPr>
    </w:p>
    <w:p w14:paraId="7B5D39F1" w14:textId="369373E5" w:rsidR="00C510B2" w:rsidRDefault="004B5A1F" w:rsidP="001F5774">
      <w:pPr>
        <w:pStyle w:val="Kopfzeile"/>
        <w:spacing w:line="360" w:lineRule="auto"/>
        <w:ind w:right="-1"/>
        <w:rPr>
          <w:rFonts w:ascii="Arial" w:hAnsi="Arial" w:cs="Arial"/>
        </w:rPr>
      </w:pPr>
      <w:r w:rsidRPr="00B85F85">
        <w:rPr>
          <w:rFonts w:ascii="Arial" w:hAnsi="Arial" w:cs="Arial"/>
        </w:rPr>
        <w:t>E</w:t>
      </w:r>
      <w:r w:rsidR="002200E0" w:rsidRPr="00B85F85">
        <w:rPr>
          <w:rFonts w:ascii="Arial" w:hAnsi="Arial" w:cs="Arial"/>
        </w:rPr>
        <w:t xml:space="preserve">ntscheidend für den Projekterfolg war die </w:t>
      </w:r>
      <w:r w:rsidRPr="00B85F85">
        <w:rPr>
          <w:rFonts w:ascii="Arial" w:hAnsi="Arial" w:cs="Arial"/>
        </w:rPr>
        <w:t xml:space="preserve">Optimierung von </w:t>
      </w:r>
      <w:r w:rsidR="002200E0" w:rsidRPr="00B85F85">
        <w:rPr>
          <w:rFonts w:ascii="Arial" w:hAnsi="Arial" w:cs="Arial"/>
        </w:rPr>
        <w:t>Transparenz</w:t>
      </w:r>
      <w:r w:rsidRPr="00B85F85">
        <w:rPr>
          <w:rFonts w:ascii="Arial" w:hAnsi="Arial" w:cs="Arial"/>
        </w:rPr>
        <w:t xml:space="preserve"> und Kommunikation </w:t>
      </w:r>
      <w:r w:rsidR="002200E0" w:rsidRPr="00B85F85">
        <w:rPr>
          <w:rFonts w:ascii="Arial" w:hAnsi="Arial" w:cs="Arial"/>
        </w:rPr>
        <w:t xml:space="preserve">durch </w:t>
      </w:r>
      <w:r w:rsidRPr="00B85F85">
        <w:rPr>
          <w:rFonts w:ascii="Arial" w:hAnsi="Arial" w:cs="Arial"/>
        </w:rPr>
        <w:t>eine</w:t>
      </w:r>
      <w:r w:rsidR="002200E0" w:rsidRPr="00B85F85">
        <w:rPr>
          <w:rFonts w:ascii="Arial" w:hAnsi="Arial" w:cs="Arial"/>
        </w:rPr>
        <w:t xml:space="preserve"> Online-Plattform. </w:t>
      </w:r>
      <w:r w:rsidRPr="00B85F85">
        <w:rPr>
          <w:rFonts w:ascii="Arial" w:hAnsi="Arial" w:cs="Arial"/>
        </w:rPr>
        <w:t xml:space="preserve">„Rund 96 Prozent der Probanden bei </w:t>
      </w:r>
      <w:proofErr w:type="spellStart"/>
      <w:r w:rsidRPr="00B85F85">
        <w:rPr>
          <w:rFonts w:ascii="Arial" w:hAnsi="Arial" w:cs="Arial"/>
        </w:rPr>
        <w:t>InTherAKT</w:t>
      </w:r>
      <w:proofErr w:type="spellEnd"/>
      <w:r w:rsidRPr="00B85F85">
        <w:rPr>
          <w:rFonts w:ascii="Arial" w:hAnsi="Arial" w:cs="Arial"/>
        </w:rPr>
        <w:t xml:space="preserve"> waren bei mehreren Ärzten in Behandlung. Für uns als Hausärzte ist der genaue Überblick entscheidend für die B</w:t>
      </w:r>
      <w:r w:rsidR="005D4266" w:rsidRPr="00B85F85">
        <w:rPr>
          <w:rFonts w:ascii="Arial" w:hAnsi="Arial" w:cs="Arial"/>
        </w:rPr>
        <w:t>eurteilung der Gesamtsituation“</w:t>
      </w:r>
      <w:r w:rsidR="00857CEB" w:rsidRPr="00B85F85">
        <w:rPr>
          <w:rFonts w:ascii="Arial" w:hAnsi="Arial" w:cs="Arial"/>
        </w:rPr>
        <w:t>,</w:t>
      </w:r>
      <w:r w:rsidR="005D4266" w:rsidRPr="00B85F85">
        <w:rPr>
          <w:rFonts w:ascii="Arial" w:hAnsi="Arial" w:cs="Arial"/>
        </w:rPr>
        <w:t xml:space="preserve"> </w:t>
      </w:r>
      <w:r w:rsidRPr="00B85F85">
        <w:rPr>
          <w:rFonts w:ascii="Arial" w:hAnsi="Arial" w:cs="Arial"/>
        </w:rPr>
        <w:t xml:space="preserve">so </w:t>
      </w:r>
      <w:r w:rsidR="005D4266" w:rsidRPr="00B85F85">
        <w:rPr>
          <w:rFonts w:ascii="Arial" w:hAnsi="Arial" w:cs="Arial"/>
        </w:rPr>
        <w:t xml:space="preserve">Dr. med. Ralf Becker vom Hausärzteverbund Münster. </w:t>
      </w:r>
      <w:r w:rsidR="00C97F99" w:rsidRPr="00B85F85">
        <w:rPr>
          <w:rFonts w:ascii="Arial" w:hAnsi="Arial" w:cs="Arial"/>
        </w:rPr>
        <w:t>„</w:t>
      </w:r>
      <w:r w:rsidR="007B7C59" w:rsidRPr="00B85F85">
        <w:rPr>
          <w:rFonts w:ascii="Arial" w:hAnsi="Arial" w:cs="Arial"/>
        </w:rPr>
        <w:t xml:space="preserve">Es gab durchaus Fälle, </w:t>
      </w:r>
      <w:r w:rsidR="00C8694D" w:rsidRPr="00B85F85">
        <w:rPr>
          <w:rFonts w:ascii="Arial" w:hAnsi="Arial" w:cs="Arial"/>
        </w:rPr>
        <w:t>bei denen</w:t>
      </w:r>
      <w:r w:rsidR="002E544E" w:rsidRPr="00B85F85">
        <w:rPr>
          <w:rFonts w:ascii="Arial" w:hAnsi="Arial" w:cs="Arial"/>
        </w:rPr>
        <w:t xml:space="preserve"> </w:t>
      </w:r>
      <w:r w:rsidR="007B7C59" w:rsidRPr="00B85F85">
        <w:rPr>
          <w:rFonts w:ascii="Arial" w:hAnsi="Arial" w:cs="Arial"/>
        </w:rPr>
        <w:t xml:space="preserve">von </w:t>
      </w:r>
      <w:r w:rsidR="002E544E" w:rsidRPr="00B85F85">
        <w:rPr>
          <w:rFonts w:ascii="Arial" w:hAnsi="Arial" w:cs="Arial"/>
        </w:rPr>
        <w:t xml:space="preserve">13 </w:t>
      </w:r>
      <w:r w:rsidR="00C97F99" w:rsidRPr="00B85F85">
        <w:rPr>
          <w:rFonts w:ascii="Arial" w:hAnsi="Arial" w:cs="Arial"/>
        </w:rPr>
        <w:t xml:space="preserve">auf </w:t>
      </w:r>
      <w:r w:rsidR="00BA2740" w:rsidRPr="00B85F85">
        <w:rPr>
          <w:rFonts w:ascii="Arial" w:hAnsi="Arial" w:cs="Arial"/>
        </w:rPr>
        <w:t xml:space="preserve">acht </w:t>
      </w:r>
      <w:bookmarkStart w:id="2" w:name="_GoBack"/>
      <w:bookmarkEnd w:id="2"/>
      <w:r w:rsidR="00BA2740" w:rsidRPr="00B85F85">
        <w:rPr>
          <w:rFonts w:ascii="Arial" w:hAnsi="Arial" w:cs="Arial"/>
        </w:rPr>
        <w:t>Medikamente reduziert werden</w:t>
      </w:r>
      <w:r w:rsidR="002E544E" w:rsidRPr="00B85F85">
        <w:rPr>
          <w:rFonts w:ascii="Arial" w:hAnsi="Arial" w:cs="Arial"/>
        </w:rPr>
        <w:t xml:space="preserve"> konnte, weil </w:t>
      </w:r>
      <w:r w:rsidR="007B7C59" w:rsidRPr="00B85F85">
        <w:rPr>
          <w:rFonts w:ascii="Arial" w:hAnsi="Arial" w:cs="Arial"/>
        </w:rPr>
        <w:t xml:space="preserve">der behandelnde Hausarzt </w:t>
      </w:r>
      <w:r w:rsidR="00F941E5" w:rsidRPr="00B85F85">
        <w:rPr>
          <w:rFonts w:ascii="Arial" w:hAnsi="Arial" w:cs="Arial"/>
        </w:rPr>
        <w:t xml:space="preserve">auch </w:t>
      </w:r>
      <w:r w:rsidR="005D4266" w:rsidRPr="00B85F85">
        <w:rPr>
          <w:rFonts w:ascii="Arial" w:hAnsi="Arial" w:cs="Arial"/>
        </w:rPr>
        <w:t xml:space="preserve">einen genauen Einblick </w:t>
      </w:r>
      <w:r w:rsidR="00F941E5" w:rsidRPr="00B85F85">
        <w:rPr>
          <w:rFonts w:ascii="Arial" w:hAnsi="Arial" w:cs="Arial"/>
        </w:rPr>
        <w:t xml:space="preserve">in </w:t>
      </w:r>
      <w:r w:rsidR="005D4266" w:rsidRPr="00B85F85">
        <w:rPr>
          <w:rFonts w:ascii="Arial" w:hAnsi="Arial" w:cs="Arial"/>
        </w:rPr>
        <w:t>sämtliche</w:t>
      </w:r>
      <w:r w:rsidR="00F941E5" w:rsidRPr="00B85F85">
        <w:rPr>
          <w:rFonts w:ascii="Arial" w:hAnsi="Arial" w:cs="Arial"/>
        </w:rPr>
        <w:t xml:space="preserve"> Altverordnungen </w:t>
      </w:r>
      <w:r w:rsidR="002E544E" w:rsidRPr="00B85F85">
        <w:rPr>
          <w:rFonts w:ascii="Arial" w:hAnsi="Arial" w:cs="Arial"/>
        </w:rPr>
        <w:t xml:space="preserve">durch andere </w:t>
      </w:r>
      <w:r w:rsidR="007B7C59" w:rsidRPr="00B85F85">
        <w:rPr>
          <w:rFonts w:ascii="Arial" w:hAnsi="Arial" w:cs="Arial"/>
        </w:rPr>
        <w:t>Kollegen</w:t>
      </w:r>
      <w:r w:rsidR="002E544E" w:rsidRPr="00B85F85">
        <w:rPr>
          <w:rFonts w:ascii="Arial" w:hAnsi="Arial" w:cs="Arial"/>
        </w:rPr>
        <w:t xml:space="preserve"> hatte</w:t>
      </w:r>
      <w:r w:rsidR="00C97F99" w:rsidRPr="00B85F85">
        <w:rPr>
          <w:rFonts w:ascii="Arial" w:hAnsi="Arial" w:cs="Arial"/>
        </w:rPr>
        <w:t xml:space="preserve">“, berichtet </w:t>
      </w:r>
      <w:r w:rsidR="005D4266" w:rsidRPr="00B85F85">
        <w:rPr>
          <w:rFonts w:ascii="Arial" w:hAnsi="Arial" w:cs="Arial"/>
        </w:rPr>
        <w:t>der Facharzt für Innere Medizin mit Schwerpunkt Geriatrie</w:t>
      </w:r>
      <w:r w:rsidR="000563D7" w:rsidRPr="00B85F85">
        <w:rPr>
          <w:rFonts w:ascii="Arial" w:hAnsi="Arial" w:cs="Arial"/>
        </w:rPr>
        <w:t>.</w:t>
      </w:r>
      <w:r w:rsidR="007B7C59" w:rsidRPr="00B85F85">
        <w:rPr>
          <w:rFonts w:ascii="Arial" w:hAnsi="Arial" w:cs="Arial"/>
        </w:rPr>
        <w:t xml:space="preserve"> </w:t>
      </w:r>
      <w:r w:rsidR="00F941E5" w:rsidRPr="00B85F85">
        <w:rPr>
          <w:rFonts w:ascii="Arial" w:hAnsi="Arial" w:cs="Arial"/>
        </w:rPr>
        <w:t>Neben der ständigen Datenverfügbarkeit bewerteten die Hausärzte auch das Handling als sehr positiv. „Jede eingetragene</w:t>
      </w:r>
      <w:r w:rsidR="00F941E5">
        <w:rPr>
          <w:rFonts w:ascii="Arial" w:hAnsi="Arial" w:cs="Arial"/>
        </w:rPr>
        <w:t xml:space="preserve"> Änderung der Befindlichkeit eines Probanden wird sofort angezeigt. Statt jeder Menge Arztbriefe und Faxe oder mühseligem Telefonkontakt liefert die Plattform aktuelles Wissen in Echtzeit und erspart zudem eine erhebliche Menge an Dokumen</w:t>
      </w:r>
      <w:r w:rsidR="00670216">
        <w:rPr>
          <w:rFonts w:ascii="Arial" w:hAnsi="Arial" w:cs="Arial"/>
        </w:rPr>
        <w:t>tat</w:t>
      </w:r>
      <w:r w:rsidR="005D4266">
        <w:rPr>
          <w:rFonts w:ascii="Arial" w:hAnsi="Arial" w:cs="Arial"/>
        </w:rPr>
        <w:t>i</w:t>
      </w:r>
      <w:r w:rsidR="00670216">
        <w:rPr>
          <w:rFonts w:ascii="Arial" w:hAnsi="Arial" w:cs="Arial"/>
        </w:rPr>
        <w:t>onsaufwand für alle Parteien“</w:t>
      </w:r>
      <w:r w:rsidR="00857CEB">
        <w:rPr>
          <w:rFonts w:ascii="Arial" w:hAnsi="Arial" w:cs="Arial"/>
        </w:rPr>
        <w:t>,</w:t>
      </w:r>
      <w:r w:rsidR="00670216">
        <w:rPr>
          <w:rFonts w:ascii="Arial" w:hAnsi="Arial" w:cs="Arial"/>
        </w:rPr>
        <w:t xml:space="preserve"> bewertet </w:t>
      </w:r>
      <w:r w:rsidR="005D4266">
        <w:rPr>
          <w:rFonts w:ascii="Arial" w:hAnsi="Arial" w:cs="Arial"/>
        </w:rPr>
        <w:t>Becker</w:t>
      </w:r>
      <w:r w:rsidR="00670216">
        <w:rPr>
          <w:rFonts w:ascii="Arial" w:hAnsi="Arial" w:cs="Arial"/>
        </w:rPr>
        <w:t xml:space="preserve"> weitere praktische Vorteile.</w:t>
      </w:r>
      <w:r w:rsidR="005D4266">
        <w:rPr>
          <w:rFonts w:ascii="Arial" w:hAnsi="Arial" w:cs="Arial"/>
        </w:rPr>
        <w:t xml:space="preserve"> </w:t>
      </w:r>
    </w:p>
    <w:p w14:paraId="34E06DB4" w14:textId="77777777" w:rsidR="0044436B" w:rsidRDefault="0044436B" w:rsidP="001F5774">
      <w:pPr>
        <w:pStyle w:val="Kopfzeile"/>
        <w:spacing w:line="360" w:lineRule="auto"/>
        <w:ind w:right="-1"/>
        <w:rPr>
          <w:rFonts w:ascii="Arial" w:hAnsi="Arial" w:cs="Arial"/>
        </w:rPr>
      </w:pPr>
    </w:p>
    <w:p w14:paraId="09B5559C" w14:textId="77777777" w:rsidR="0044436B" w:rsidRDefault="005D4266" w:rsidP="001F5774">
      <w:pPr>
        <w:pStyle w:val="Kopfzeile"/>
        <w:spacing w:line="360" w:lineRule="auto"/>
        <w:ind w:right="-1"/>
        <w:rPr>
          <w:rFonts w:ascii="Arial" w:hAnsi="Arial" w:cs="Arial"/>
        </w:rPr>
      </w:pPr>
      <w:r>
        <w:rPr>
          <w:rFonts w:ascii="Arial" w:hAnsi="Arial" w:cs="Arial"/>
        </w:rPr>
        <w:t>Die Arbeit mit der Online-Plattform verlief so erfolgreich, dass diese</w:t>
      </w:r>
      <w:r w:rsidR="00296C0D">
        <w:rPr>
          <w:rFonts w:ascii="Arial" w:hAnsi="Arial" w:cs="Arial"/>
        </w:rPr>
        <w:t xml:space="preserve"> inzwischen zum Patent angemeldet wurde. „Die Vorteile der Plattform liegen auf der Hand“, erläutert Prof. Osterbrink. „Alle beteiligten Berufsgruppen konnten jederzeit und passend zu ihrem Arbeitsalltag die Datenlage analysieren, ihre Bemerkungen machen oder </w:t>
      </w:r>
    </w:p>
    <w:p w14:paraId="3A7D790A" w14:textId="77777777" w:rsidR="0044436B" w:rsidRDefault="0044436B" w:rsidP="00903522">
      <w:pPr>
        <w:pStyle w:val="Kopfzeile"/>
        <w:spacing w:line="360" w:lineRule="auto"/>
        <w:ind w:right="-1"/>
        <w:rPr>
          <w:rFonts w:ascii="Arial" w:hAnsi="Arial" w:cs="Arial"/>
        </w:rPr>
      </w:pPr>
    </w:p>
    <w:p w14:paraId="42CAC305" w14:textId="0CA1E93D" w:rsidR="00AD44E1" w:rsidRDefault="00296C0D" w:rsidP="00903522">
      <w:pPr>
        <w:pStyle w:val="Kopfzeile"/>
        <w:spacing w:line="360" w:lineRule="auto"/>
        <w:ind w:right="-1"/>
        <w:rPr>
          <w:rFonts w:ascii="Arial" w:hAnsi="Arial" w:cs="Arial"/>
        </w:rPr>
      </w:pPr>
      <w:r>
        <w:rPr>
          <w:rFonts w:ascii="Arial" w:hAnsi="Arial" w:cs="Arial"/>
        </w:rPr>
        <w:lastRenderedPageBreak/>
        <w:t>Änderungsvorschläge einbringen.“ Da</w:t>
      </w:r>
      <w:r w:rsidR="005D4266">
        <w:rPr>
          <w:rFonts w:ascii="Arial" w:hAnsi="Arial" w:cs="Arial"/>
        </w:rPr>
        <w:t>s habe die Zusammenarbeit sehr erleichtert und effizienter gemacht. „Neben den Ärzten haben auch die heimversorgenden Apotheker und d</w:t>
      </w:r>
      <w:r w:rsidR="00F47069">
        <w:rPr>
          <w:rFonts w:ascii="Arial" w:hAnsi="Arial" w:cs="Arial"/>
        </w:rPr>
        <w:t>a</w:t>
      </w:r>
      <w:r w:rsidR="005D4266">
        <w:rPr>
          <w:rFonts w:ascii="Arial" w:hAnsi="Arial" w:cs="Arial"/>
        </w:rPr>
        <w:t>s Pflegepersonal die</w:t>
      </w:r>
      <w:r w:rsidR="00F47069">
        <w:rPr>
          <w:rFonts w:ascii="Arial" w:hAnsi="Arial" w:cs="Arial"/>
        </w:rPr>
        <w:t xml:space="preserve"> schnelle Kommunikation, die umfassende Datenbasis und die perfekte Dokumentation schätzen gelernt“, so der Projektleiter.</w:t>
      </w:r>
    </w:p>
    <w:p w14:paraId="08F04CD6" w14:textId="77777777" w:rsidR="004058BB" w:rsidRDefault="004058BB" w:rsidP="00903522">
      <w:pPr>
        <w:pStyle w:val="Kopfzeile"/>
        <w:spacing w:line="360" w:lineRule="auto"/>
        <w:ind w:right="-1"/>
        <w:rPr>
          <w:rFonts w:ascii="Arial" w:hAnsi="Arial" w:cs="Arial"/>
        </w:rPr>
      </w:pPr>
    </w:p>
    <w:p w14:paraId="39264978" w14:textId="7B7EAE42" w:rsidR="0029247A" w:rsidRDefault="0029247A" w:rsidP="00903522">
      <w:pPr>
        <w:pStyle w:val="Kopfzeile"/>
        <w:spacing w:line="360" w:lineRule="auto"/>
        <w:ind w:right="-1"/>
        <w:rPr>
          <w:rFonts w:ascii="Arial" w:hAnsi="Arial" w:cs="Arial"/>
        </w:rPr>
      </w:pPr>
      <w:r>
        <w:rPr>
          <w:rFonts w:ascii="Arial" w:hAnsi="Arial" w:cs="Arial"/>
        </w:rPr>
        <w:t xml:space="preserve">„Wir haben im Projektverlauf auch </w:t>
      </w:r>
      <w:r w:rsidR="00C8694D">
        <w:rPr>
          <w:rFonts w:ascii="Arial" w:hAnsi="Arial" w:cs="Arial"/>
        </w:rPr>
        <w:t>Aspekte</w:t>
      </w:r>
      <w:r>
        <w:rPr>
          <w:rFonts w:ascii="Arial" w:hAnsi="Arial" w:cs="Arial"/>
        </w:rPr>
        <w:t xml:space="preserve"> identifiziert, die </w:t>
      </w:r>
      <w:r w:rsidR="00F47069">
        <w:rPr>
          <w:rFonts w:ascii="Arial" w:hAnsi="Arial" w:cs="Arial"/>
        </w:rPr>
        <w:t>im Sinne des gemeinsamen Zieles noch</w:t>
      </w:r>
      <w:r>
        <w:rPr>
          <w:rFonts w:ascii="Arial" w:hAnsi="Arial" w:cs="Arial"/>
        </w:rPr>
        <w:t xml:space="preserve"> verbesserungswürdig sind“</w:t>
      </w:r>
      <w:r w:rsidR="00857CEB">
        <w:rPr>
          <w:rFonts w:ascii="Arial" w:hAnsi="Arial" w:cs="Arial"/>
        </w:rPr>
        <w:t>,</w:t>
      </w:r>
      <w:r>
        <w:rPr>
          <w:rFonts w:ascii="Arial" w:hAnsi="Arial" w:cs="Arial"/>
        </w:rPr>
        <w:t xml:space="preserve"> bilanziert </w:t>
      </w:r>
      <w:r w:rsidR="00F47069">
        <w:rPr>
          <w:rFonts w:ascii="Arial" w:hAnsi="Arial" w:cs="Arial"/>
        </w:rPr>
        <w:t>der Pflegewissenschaftler</w:t>
      </w:r>
      <w:r>
        <w:rPr>
          <w:rFonts w:ascii="Arial" w:hAnsi="Arial" w:cs="Arial"/>
        </w:rPr>
        <w:t>. Zu nennen seien hier beispielsweise die Vereinheitlichung der Dokumentation i</w:t>
      </w:r>
      <w:r w:rsidR="00F95210">
        <w:rPr>
          <w:rFonts w:ascii="Arial" w:hAnsi="Arial" w:cs="Arial"/>
        </w:rPr>
        <w:t>n der</w:t>
      </w:r>
      <w:r>
        <w:rPr>
          <w:rFonts w:ascii="Arial" w:hAnsi="Arial" w:cs="Arial"/>
        </w:rPr>
        <w:t xml:space="preserve"> Pflege, die Zusammenarbeit der Ärzte verschiedener Fachgruppen</w:t>
      </w:r>
      <w:r w:rsidR="009B2AC6">
        <w:rPr>
          <w:rFonts w:ascii="Arial" w:hAnsi="Arial" w:cs="Arial"/>
        </w:rPr>
        <w:t xml:space="preserve"> oder</w:t>
      </w:r>
      <w:r>
        <w:rPr>
          <w:rFonts w:ascii="Arial" w:hAnsi="Arial" w:cs="Arial"/>
        </w:rPr>
        <w:t xml:space="preserve"> der </w:t>
      </w:r>
      <w:r w:rsidR="009B2AC6">
        <w:rPr>
          <w:rFonts w:ascii="Arial" w:hAnsi="Arial" w:cs="Arial"/>
        </w:rPr>
        <w:t xml:space="preserve">regelmäßige </w:t>
      </w:r>
      <w:r>
        <w:rPr>
          <w:rFonts w:ascii="Arial" w:hAnsi="Arial" w:cs="Arial"/>
        </w:rPr>
        <w:t>Austausch zwischen Arzt und Apotheker. Die gemeinsamen Schulungen hätten jedoch das Verständnis</w:t>
      </w:r>
      <w:r w:rsidR="004058BB">
        <w:rPr>
          <w:rFonts w:ascii="Arial" w:hAnsi="Arial" w:cs="Arial"/>
        </w:rPr>
        <w:t xml:space="preserve"> und die Wertschätzung</w:t>
      </w:r>
      <w:r>
        <w:rPr>
          <w:rFonts w:ascii="Arial" w:hAnsi="Arial" w:cs="Arial"/>
        </w:rPr>
        <w:t xml:space="preserve"> füreinander sehr gefördert. „A</w:t>
      </w:r>
      <w:r w:rsidR="00D772EF">
        <w:rPr>
          <w:rFonts w:ascii="Arial" w:hAnsi="Arial" w:cs="Arial"/>
        </w:rPr>
        <w:t>uf diesem Weg wollen wir weiter</w:t>
      </w:r>
      <w:r>
        <w:rPr>
          <w:rFonts w:ascii="Arial" w:hAnsi="Arial" w:cs="Arial"/>
        </w:rPr>
        <w:t>gehen</w:t>
      </w:r>
      <w:r w:rsidR="009B2AC6">
        <w:rPr>
          <w:rFonts w:ascii="Arial" w:hAnsi="Arial" w:cs="Arial"/>
        </w:rPr>
        <w:t>. Der Patentschutz der Online</w:t>
      </w:r>
      <w:r>
        <w:rPr>
          <w:rFonts w:ascii="Arial" w:hAnsi="Arial" w:cs="Arial"/>
        </w:rPr>
        <w:t>-Plattform ist für uns ein wichtiger Meilenstein auf unserem Weg, dieses System</w:t>
      </w:r>
      <w:r w:rsidR="009B2AC6">
        <w:rPr>
          <w:rFonts w:ascii="Arial" w:hAnsi="Arial" w:cs="Arial"/>
        </w:rPr>
        <w:t xml:space="preserve"> für die Zukunft der Altenpflege weiter zu etablieren.“</w:t>
      </w:r>
    </w:p>
    <w:p w14:paraId="0AB5A7E1" w14:textId="77777777" w:rsidR="0044436B" w:rsidRDefault="0044436B" w:rsidP="00903522">
      <w:pPr>
        <w:pStyle w:val="Kopfzeile"/>
        <w:spacing w:line="360" w:lineRule="auto"/>
        <w:ind w:right="-1"/>
        <w:rPr>
          <w:rFonts w:ascii="Arial" w:hAnsi="Arial" w:cs="Arial"/>
        </w:rPr>
      </w:pPr>
    </w:p>
    <w:p w14:paraId="3622F716" w14:textId="3DB05B58" w:rsidR="009B2AC6" w:rsidRDefault="00177B2B" w:rsidP="00903522">
      <w:pPr>
        <w:pStyle w:val="Kopfzeile"/>
        <w:spacing w:line="360" w:lineRule="auto"/>
        <w:ind w:right="-1"/>
        <w:rPr>
          <w:rFonts w:ascii="Arial" w:hAnsi="Arial" w:cs="Arial"/>
        </w:rPr>
      </w:pPr>
      <w:r w:rsidRPr="001A63C0">
        <w:rPr>
          <w:b/>
          <w:noProof/>
          <w:lang w:eastAsia="de-DE"/>
        </w:rPr>
        <mc:AlternateContent>
          <mc:Choice Requires="wps">
            <w:drawing>
              <wp:anchor distT="45720" distB="45720" distL="114300" distR="114300" simplePos="0" relativeHeight="251659264" behindDoc="0" locked="0" layoutInCell="1" allowOverlap="1" wp14:anchorId="06E6D56A" wp14:editId="313C37A3">
                <wp:simplePos x="0" y="0"/>
                <wp:positionH relativeFrom="column">
                  <wp:posOffset>3081020</wp:posOffset>
                </wp:positionH>
                <wp:positionV relativeFrom="paragraph">
                  <wp:posOffset>213995</wp:posOffset>
                </wp:positionV>
                <wp:extent cx="2545080" cy="1540510"/>
                <wp:effectExtent l="0" t="0" r="762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540510"/>
                        </a:xfrm>
                        <a:prstGeom prst="rect">
                          <a:avLst/>
                        </a:prstGeom>
                        <a:solidFill>
                          <a:srgbClr val="FFFFFF"/>
                        </a:solidFill>
                        <a:ln w="9525">
                          <a:noFill/>
                          <a:miter lim="800000"/>
                          <a:headEnd/>
                          <a:tailEnd/>
                        </a:ln>
                      </wps:spPr>
                      <wps:txbx>
                        <w:txbxContent>
                          <w:p w14:paraId="46DDB97A" w14:textId="77777777" w:rsidR="000926B1" w:rsidRDefault="000926B1" w:rsidP="00903522">
                            <w:pPr>
                              <w:pStyle w:val="Kopfzeile"/>
                              <w:spacing w:line="360" w:lineRule="auto"/>
                              <w:ind w:right="-1"/>
                            </w:pPr>
                            <w:r>
                              <w:rPr>
                                <w:rFonts w:ascii="Arial" w:hAnsi="Arial" w:cs="Arial"/>
                                <w:b/>
                                <w:u w:val="single"/>
                              </w:rPr>
                              <w:t>Bildzeile:</w:t>
                            </w:r>
                          </w:p>
                          <w:p w14:paraId="432155E3" w14:textId="1DB8FA45" w:rsidR="000926B1" w:rsidRPr="00903522" w:rsidRDefault="000926B1" w:rsidP="00903522">
                            <w:pPr>
                              <w:pStyle w:val="Kopfzeile"/>
                              <w:spacing w:line="360" w:lineRule="auto"/>
                              <w:ind w:right="-1"/>
                              <w:rPr>
                                <w:sz w:val="20"/>
                                <w:szCs w:val="20"/>
                              </w:rPr>
                            </w:pPr>
                            <w:r>
                              <w:rPr>
                                <w:rFonts w:ascii="Arial" w:hAnsi="Arial" w:cs="Arial"/>
                                <w:sz w:val="20"/>
                                <w:szCs w:val="20"/>
                              </w:rPr>
                              <w:t>Die Zusammenarbeit der beteiligten Berufsgruppen ist ein wichtiger Baustein zur Verbesserung der Arzneimittel-therapie in Altenhilfeeinrichtungen</w:t>
                            </w:r>
                            <w:r w:rsidR="006627BA">
                              <w:rPr>
                                <w:rFonts w:ascii="Arial" w:hAnsi="Arial" w:cs="Arial"/>
                                <w:sz w:val="20"/>
                                <w:szCs w:val="20"/>
                              </w:rPr>
                              <w:t>.</w:t>
                            </w:r>
                          </w:p>
                          <w:p w14:paraId="70E8B3C3" w14:textId="77777777" w:rsidR="000926B1" w:rsidRDefault="000926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2.6pt;margin-top:16.85pt;width:200.4pt;height:121.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" stroked="f">
                <v:textbox style="mso-fit-shape-to-text:t">
                  <w:txbxContent>
                    <w:p w14:paraId="46DDB97A" w14:textId="77777777" w:rsidR="000926B1" w:rsidRDefault="000926B1" w:rsidP="00903522">
                      <w:pPr>
                        <w:pStyle w:val="Kopfzeile"/>
                        <w:spacing w:line="360" w:lineRule="auto"/>
                        <w:ind w:right="-1"/>
                      </w:pPr>
                      <w:r>
                        <w:rPr>
                          <w:rFonts w:ascii="Arial" w:hAnsi="Arial" w:cs="Arial"/>
                          <w:b/>
                          <w:u w:val="single"/>
                        </w:rPr>
                        <w:t>Bildzeile:</w:t>
                      </w:r>
                    </w:p>
                    <w:p w14:paraId="432155E3" w14:textId="1DB8FA45" w:rsidR="000926B1" w:rsidRPr="00903522" w:rsidRDefault="000926B1" w:rsidP="00903522">
                      <w:pPr>
                        <w:pStyle w:val="Kopfzeile"/>
                        <w:spacing w:line="360" w:lineRule="auto"/>
                        <w:ind w:right="-1"/>
                        <w:rPr>
                          <w:sz w:val="20"/>
                          <w:szCs w:val="20"/>
                        </w:rPr>
                      </w:pPr>
                      <w:r>
                        <w:rPr>
                          <w:rFonts w:ascii="Arial" w:hAnsi="Arial" w:cs="Arial"/>
                          <w:sz w:val="20"/>
                          <w:szCs w:val="20"/>
                        </w:rPr>
                        <w:t>Die Zusammenarbeit der beteiligten Berufsgruppen ist ein wichtiger Baustein zur Verbesserung der Arzneimittel-therapie in Altenhilfeeinrichtungen</w:t>
                      </w:r>
                      <w:r w:rsidR="006627BA">
                        <w:rPr>
                          <w:rFonts w:ascii="Arial" w:hAnsi="Arial" w:cs="Arial"/>
                          <w:sz w:val="20"/>
                          <w:szCs w:val="20"/>
                        </w:rPr>
                        <w:t>.</w:t>
                      </w:r>
                    </w:p>
                    <w:p w14:paraId="70E8B3C3" w14:textId="77777777" w:rsidR="000926B1" w:rsidRDefault="000926B1"/>
                  </w:txbxContent>
                </v:textbox>
                <w10:wrap type="square"/>
              </v:shape>
            </w:pict>
          </mc:Fallback>
        </mc:AlternateContent>
      </w:r>
      <w:r w:rsidR="001A63C0" w:rsidRPr="001A63C0">
        <w:rPr>
          <w:rFonts w:ascii="Arial" w:hAnsi="Arial" w:cs="Arial"/>
          <w:b/>
        </w:rPr>
        <w:t>Bildmaterial</w:t>
      </w:r>
      <w:r w:rsidR="001A63C0">
        <w:rPr>
          <w:rFonts w:ascii="Arial" w:hAnsi="Arial" w:cs="Arial"/>
        </w:rPr>
        <w:t>:</w:t>
      </w:r>
    </w:p>
    <w:p w14:paraId="6C800947" w14:textId="6A54D32B" w:rsidR="009B2AC6" w:rsidRPr="000200D7" w:rsidRDefault="00177B2B" w:rsidP="00903522">
      <w:pPr>
        <w:pStyle w:val="Kopfzeile"/>
        <w:spacing w:line="360" w:lineRule="auto"/>
        <w:ind w:right="-1"/>
        <w:rPr>
          <w:rFonts w:ascii="Arial" w:hAnsi="Arial" w:cs="Arial"/>
        </w:rPr>
      </w:pPr>
      <w:r w:rsidRPr="00177B2B">
        <w:rPr>
          <w:noProof/>
          <w:lang w:eastAsia="de-DE"/>
        </w:rPr>
        <w:drawing>
          <wp:inline distT="0" distB="0" distL="0" distR="0" wp14:anchorId="69027489" wp14:editId="58A05F28">
            <wp:extent cx="3040380" cy="2028820"/>
            <wp:effectExtent l="0" t="0" r="7620" b="0"/>
            <wp:docPr id="3" name="Grafik 3" descr="Y:\grunenthal\bilder\höttestift\kleinebilder\IMG_0985 (640x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grunenthal\bilder\höttestift\kleinebilder\IMG_0985 (640x4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0449" cy="2062230"/>
                    </a:xfrm>
                    <a:prstGeom prst="rect">
                      <a:avLst/>
                    </a:prstGeom>
                    <a:noFill/>
                    <a:ln>
                      <a:noFill/>
                    </a:ln>
                  </pic:spPr>
                </pic:pic>
              </a:graphicData>
            </a:graphic>
          </wp:inline>
        </w:drawing>
      </w:r>
    </w:p>
    <w:p w14:paraId="223AF379" w14:textId="7A6C086B" w:rsidR="00B95549" w:rsidRDefault="004B5A1F" w:rsidP="00903522">
      <w:pPr>
        <w:pStyle w:val="Kopfzeile"/>
        <w:spacing w:line="360" w:lineRule="auto"/>
        <w:ind w:right="-1"/>
        <w:rPr>
          <w:rFonts w:ascii="Arial" w:hAnsi="Arial" w:cs="Arial"/>
          <w:b/>
          <w:u w:val="single"/>
        </w:rPr>
      </w:pPr>
      <w:r w:rsidRPr="004B5A1F">
        <w:rPr>
          <w:b/>
          <w:noProof/>
          <w:lang w:eastAsia="de-DE"/>
        </w:rPr>
        <mc:AlternateContent>
          <mc:Choice Requires="wps">
            <w:drawing>
              <wp:anchor distT="45720" distB="45720" distL="114300" distR="114300" simplePos="0" relativeHeight="251662336" behindDoc="0" locked="0" layoutInCell="1" allowOverlap="1" wp14:anchorId="2B5849F2" wp14:editId="2A883BDE">
                <wp:simplePos x="0" y="0"/>
                <wp:positionH relativeFrom="column">
                  <wp:posOffset>3077210</wp:posOffset>
                </wp:positionH>
                <wp:positionV relativeFrom="paragraph">
                  <wp:posOffset>100330</wp:posOffset>
                </wp:positionV>
                <wp:extent cx="2545080" cy="1759585"/>
                <wp:effectExtent l="0" t="0" r="762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759585"/>
                        </a:xfrm>
                        <a:prstGeom prst="rect">
                          <a:avLst/>
                        </a:prstGeom>
                        <a:solidFill>
                          <a:srgbClr val="FFFFFF"/>
                        </a:solidFill>
                        <a:ln w="9525">
                          <a:noFill/>
                          <a:miter lim="800000"/>
                          <a:headEnd/>
                          <a:tailEnd/>
                        </a:ln>
                      </wps:spPr>
                      <wps:txbx>
                        <w:txbxContent>
                          <w:p w14:paraId="37170430" w14:textId="77777777" w:rsidR="000926B1" w:rsidRDefault="000926B1" w:rsidP="004B5A1F">
                            <w:pPr>
                              <w:pStyle w:val="Kopfzeile"/>
                              <w:spacing w:line="360" w:lineRule="auto"/>
                              <w:ind w:right="-1"/>
                            </w:pPr>
                            <w:r>
                              <w:rPr>
                                <w:rFonts w:ascii="Arial" w:hAnsi="Arial" w:cs="Arial"/>
                                <w:b/>
                                <w:u w:val="single"/>
                              </w:rPr>
                              <w:t>Bildzeile:</w:t>
                            </w:r>
                          </w:p>
                          <w:p w14:paraId="09086E0C" w14:textId="3A24E589" w:rsidR="000926B1" w:rsidRPr="00903522" w:rsidRDefault="000926B1" w:rsidP="004B5A1F">
                            <w:pPr>
                              <w:pStyle w:val="Kopfzeile"/>
                              <w:spacing w:line="360" w:lineRule="auto"/>
                              <w:ind w:right="-1"/>
                              <w:rPr>
                                <w:sz w:val="20"/>
                                <w:szCs w:val="20"/>
                              </w:rPr>
                            </w:pPr>
                            <w:r>
                              <w:rPr>
                                <w:rFonts w:ascii="Arial" w:hAnsi="Arial" w:cs="Arial"/>
                                <w:sz w:val="20"/>
                                <w:szCs w:val="20"/>
                              </w:rPr>
                              <w:t>Durch die Verwendung einer zum Patent angemeldeten Online-Plattform können Ärzte, Apotheker und Pflegende gemeinsam auf alle Daten zugreifen und sich austauschen.</w:t>
                            </w:r>
                          </w:p>
                          <w:p w14:paraId="23727636" w14:textId="77777777" w:rsidR="000926B1" w:rsidRDefault="000926B1" w:rsidP="004B5A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2.3pt;margin-top:7.9pt;width:200.4pt;height:138.5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" stroked="f">
                <v:textbox style="mso-fit-shape-to-text:t">
                  <w:txbxContent>
                    <w:p w14:paraId="37170430" w14:textId="77777777" w:rsidR="000926B1" w:rsidRDefault="000926B1" w:rsidP="004B5A1F">
                      <w:pPr>
                        <w:pStyle w:val="Kopfzeile"/>
                        <w:spacing w:line="360" w:lineRule="auto"/>
                        <w:ind w:right="-1"/>
                      </w:pPr>
                      <w:r>
                        <w:rPr>
                          <w:rFonts w:ascii="Arial" w:hAnsi="Arial" w:cs="Arial"/>
                          <w:b/>
                          <w:u w:val="single"/>
                        </w:rPr>
                        <w:t>Bildzeile:</w:t>
                      </w:r>
                    </w:p>
                    <w:p w14:paraId="09086E0C" w14:textId="3A24E589" w:rsidR="000926B1" w:rsidRPr="00903522" w:rsidRDefault="000926B1" w:rsidP="004B5A1F">
                      <w:pPr>
                        <w:pStyle w:val="Kopfzeile"/>
                        <w:spacing w:line="360" w:lineRule="auto"/>
                        <w:ind w:right="-1"/>
                        <w:rPr>
                          <w:sz w:val="20"/>
                          <w:szCs w:val="20"/>
                        </w:rPr>
                      </w:pPr>
                      <w:r>
                        <w:rPr>
                          <w:rFonts w:ascii="Arial" w:hAnsi="Arial" w:cs="Arial"/>
                          <w:sz w:val="20"/>
                          <w:szCs w:val="20"/>
                        </w:rPr>
                        <w:t>Durch die Verwendung einer zum Patent angemeldeten Online-Plattform können Ärzte, Apotheker und Pflegende gemeinsam auf alle Daten zugreifen und sich austauschen.</w:t>
                      </w:r>
                    </w:p>
                    <w:p w14:paraId="23727636" w14:textId="77777777" w:rsidR="000926B1" w:rsidRDefault="000926B1" w:rsidP="004B5A1F"/>
                  </w:txbxContent>
                </v:textbox>
                <w10:wrap type="square"/>
              </v:shape>
            </w:pict>
          </mc:Fallback>
        </mc:AlternateContent>
      </w:r>
      <w:r>
        <w:rPr>
          <w:noProof/>
          <w:lang w:eastAsia="de-DE"/>
        </w:rPr>
        <w:drawing>
          <wp:anchor distT="0" distB="0" distL="114300" distR="114300" simplePos="0" relativeHeight="251660288" behindDoc="1" locked="0" layoutInCell="1" allowOverlap="1" wp14:anchorId="21914D10" wp14:editId="0DBCDE3A">
            <wp:simplePos x="0" y="0"/>
            <wp:positionH relativeFrom="margin">
              <wp:align>left</wp:align>
            </wp:positionH>
            <wp:positionV relativeFrom="paragraph">
              <wp:posOffset>173355</wp:posOffset>
            </wp:positionV>
            <wp:extent cx="3058795" cy="2041525"/>
            <wp:effectExtent l="0" t="0" r="8255" b="0"/>
            <wp:wrapTight wrapText="bothSides">
              <wp:wrapPolygon edited="0">
                <wp:start x="0" y="0"/>
                <wp:lineTo x="0" y="21365"/>
                <wp:lineTo x="21524" y="21365"/>
                <wp:lineTo x="21524" y="0"/>
                <wp:lineTo x="0" y="0"/>
              </wp:wrapPolygon>
            </wp:wrapTight>
            <wp:docPr id="1" name="Grafik 1" descr="C:\Users\Lichtenstein\AppData\Local\Microsoft\Windows\INetCache\Content.Word\DSC_6793_bearbeitet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htenstein\AppData\Local\Microsoft\Windows\INetCache\Content.Word\DSC_6793_bearbeitet_gros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8795" cy="204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E291E" w14:textId="77777777" w:rsidR="00AB1570" w:rsidRDefault="00AB1570" w:rsidP="00903522">
      <w:pPr>
        <w:pStyle w:val="Kopfzeile"/>
        <w:spacing w:line="360" w:lineRule="auto"/>
        <w:ind w:right="-1"/>
        <w:rPr>
          <w:rFonts w:ascii="Arial" w:hAnsi="Arial" w:cs="Arial"/>
          <w:b/>
          <w:u w:val="single"/>
        </w:rPr>
      </w:pPr>
    </w:p>
    <w:p w14:paraId="1DF9A8A6" w14:textId="77777777" w:rsidR="0044436B" w:rsidRDefault="0044436B" w:rsidP="00903522">
      <w:pPr>
        <w:pStyle w:val="Kopfzeile"/>
        <w:spacing w:line="360" w:lineRule="auto"/>
        <w:ind w:right="-1"/>
        <w:rPr>
          <w:rFonts w:ascii="Arial" w:hAnsi="Arial" w:cs="Arial"/>
          <w:b/>
          <w:u w:val="single"/>
        </w:rPr>
      </w:pPr>
    </w:p>
    <w:p w14:paraId="3588388C" w14:textId="77777777" w:rsidR="00B1662F" w:rsidRPr="00B1662F" w:rsidRDefault="00B1662F" w:rsidP="00903522">
      <w:pPr>
        <w:pStyle w:val="Kopfzeile"/>
        <w:spacing w:line="360" w:lineRule="auto"/>
        <w:ind w:right="-1"/>
        <w:rPr>
          <w:rFonts w:ascii="Arial" w:hAnsi="Arial" w:cs="Arial"/>
          <w:b/>
          <w:color w:val="FF0000"/>
          <w:u w:val="single"/>
        </w:rPr>
      </w:pPr>
      <w:r w:rsidRPr="00B1662F">
        <w:rPr>
          <w:rFonts w:ascii="Arial" w:hAnsi="Arial" w:cs="Arial"/>
          <w:b/>
          <w:color w:val="FF0000"/>
          <w:u w:val="single"/>
        </w:rPr>
        <w:lastRenderedPageBreak/>
        <w:t>Bitte beachten:</w:t>
      </w:r>
    </w:p>
    <w:p w14:paraId="224112AA" w14:textId="0ECF888E" w:rsidR="00B1662F" w:rsidRPr="00B1662F" w:rsidRDefault="00B1662F" w:rsidP="00903522">
      <w:pPr>
        <w:pStyle w:val="Kopfzeile"/>
        <w:spacing w:line="360" w:lineRule="auto"/>
        <w:ind w:right="-1"/>
        <w:rPr>
          <w:rFonts w:ascii="Arial" w:hAnsi="Arial" w:cs="Arial"/>
          <w:b/>
          <w:color w:val="FF0000"/>
        </w:rPr>
      </w:pPr>
      <w:r w:rsidRPr="00B1662F">
        <w:rPr>
          <w:rFonts w:ascii="Arial" w:hAnsi="Arial" w:cs="Arial"/>
          <w:b/>
          <w:color w:val="FF0000"/>
        </w:rPr>
        <w:t>Das Bildmaterial zu dieser Pressemitte</w:t>
      </w:r>
      <w:r>
        <w:rPr>
          <w:rFonts w:ascii="Arial" w:hAnsi="Arial" w:cs="Arial"/>
          <w:b/>
          <w:color w:val="FF0000"/>
        </w:rPr>
        <w:t>i</w:t>
      </w:r>
      <w:r w:rsidRPr="00B1662F">
        <w:rPr>
          <w:rFonts w:ascii="Arial" w:hAnsi="Arial" w:cs="Arial"/>
          <w:b/>
          <w:color w:val="FF0000"/>
        </w:rPr>
        <w:t xml:space="preserve">lung sowie Portraits der Referenten finden Sie im Pressebereich von </w:t>
      </w:r>
      <w:hyperlink r:id="rId11" w:history="1">
        <w:r w:rsidRPr="00B1662F">
          <w:rPr>
            <w:rStyle w:val="Hyperlink"/>
            <w:rFonts w:ascii="Arial" w:hAnsi="Arial" w:cs="Arial"/>
            <w:color w:val="FF0000"/>
          </w:rPr>
          <w:t>www.InTherAKT.de</w:t>
        </w:r>
      </w:hyperlink>
    </w:p>
    <w:p w14:paraId="695AC860" w14:textId="77777777" w:rsidR="00B1662F" w:rsidRPr="00B1662F" w:rsidRDefault="00B1662F" w:rsidP="00903522">
      <w:pPr>
        <w:pStyle w:val="Kopfzeile"/>
        <w:spacing w:line="360" w:lineRule="auto"/>
        <w:ind w:right="-1"/>
        <w:rPr>
          <w:rFonts w:ascii="Arial" w:hAnsi="Arial" w:cs="Arial"/>
          <w:b/>
        </w:rPr>
      </w:pPr>
    </w:p>
    <w:p w14:paraId="4706EF81" w14:textId="083DF697" w:rsidR="00903522" w:rsidRDefault="00903522" w:rsidP="00903522">
      <w:pPr>
        <w:pStyle w:val="Kopfzeile"/>
        <w:spacing w:line="360" w:lineRule="auto"/>
        <w:ind w:right="-1"/>
      </w:pPr>
      <w:r>
        <w:rPr>
          <w:rFonts w:ascii="Arial" w:hAnsi="Arial" w:cs="Arial"/>
          <w:b/>
          <w:u w:val="single"/>
        </w:rPr>
        <w:t xml:space="preserve">Das Projekt </w:t>
      </w:r>
      <w:proofErr w:type="spellStart"/>
      <w:r>
        <w:rPr>
          <w:rFonts w:ascii="Arial" w:hAnsi="Arial" w:cs="Arial"/>
          <w:b/>
          <w:u w:val="single"/>
        </w:rPr>
        <w:t>InTherAKT</w:t>
      </w:r>
      <w:proofErr w:type="spellEnd"/>
    </w:p>
    <w:p w14:paraId="701EFC61" w14:textId="77777777" w:rsidR="00903522" w:rsidRDefault="00903522" w:rsidP="00903522">
      <w:pPr>
        <w:pStyle w:val="Kopfzeile"/>
        <w:ind w:right="1699"/>
      </w:pPr>
    </w:p>
    <w:p w14:paraId="6FC5113E" w14:textId="42A947E3" w:rsidR="00903522" w:rsidRPr="008F0AEC" w:rsidRDefault="00903522" w:rsidP="00903522">
      <w:pPr>
        <w:pStyle w:val="Kopfzeile"/>
        <w:spacing w:line="360" w:lineRule="auto"/>
        <w:ind w:right="-2"/>
        <w:rPr>
          <w:rFonts w:ascii="Arial" w:hAnsi="Arial" w:cs="Arial"/>
        </w:rPr>
      </w:pPr>
      <w:r>
        <w:rPr>
          <w:rFonts w:ascii="Arial" w:hAnsi="Arial" w:cs="Arial"/>
        </w:rPr>
        <w:t xml:space="preserve">Gerade bei Bewohnern von Altenpflegeeinrichtungen kommt es vergleichsweise häufig zu unerwünschten Arzneimitteleffekten. Die Ursachen hierfür sind vielfältig: Die Patienten sind alt und leiden oft unter mehreren Erkrankungen, zudem sind sie häufig zusätzlich kognitiv eingeschränkt. Hierbei handelt es sich um eine komplexe Herausforderung und die Abstimmung zwischen Arzt, Apotheker und Pflegenden verläuft teilweise unzureichend. Durch das Projekt </w:t>
      </w:r>
      <w:proofErr w:type="spellStart"/>
      <w:r>
        <w:rPr>
          <w:rFonts w:ascii="Arial" w:hAnsi="Arial" w:cs="Arial"/>
          <w:b/>
        </w:rPr>
        <w:t>InTherAKT</w:t>
      </w:r>
      <w:proofErr w:type="spellEnd"/>
      <w:r>
        <w:rPr>
          <w:rFonts w:ascii="Arial" w:hAnsi="Arial" w:cs="Arial"/>
        </w:rPr>
        <w:t xml:space="preserve"> soll</w:t>
      </w:r>
      <w:r w:rsidR="004A1331">
        <w:rPr>
          <w:rFonts w:ascii="Arial" w:hAnsi="Arial" w:cs="Arial"/>
        </w:rPr>
        <w:t>te</w:t>
      </w:r>
      <w:r>
        <w:rPr>
          <w:rFonts w:ascii="Arial" w:hAnsi="Arial" w:cs="Arial"/>
        </w:rPr>
        <w:t xml:space="preserve"> die Arzneimitteltherapiesicherheit in Altenhilfeeinrichtungen verbessert werden. </w:t>
      </w:r>
    </w:p>
    <w:p w14:paraId="76336909" w14:textId="77777777" w:rsidR="00903522" w:rsidRDefault="00903522" w:rsidP="00903522">
      <w:pPr>
        <w:pStyle w:val="Kopfzeile"/>
        <w:spacing w:line="360" w:lineRule="auto"/>
        <w:ind w:right="-2"/>
      </w:pPr>
    </w:p>
    <w:p w14:paraId="2D5185AB" w14:textId="77777777" w:rsidR="00903522" w:rsidRDefault="00903522" w:rsidP="00903522">
      <w:pPr>
        <w:pStyle w:val="Kopfzeile"/>
        <w:tabs>
          <w:tab w:val="left" w:pos="8505"/>
        </w:tabs>
        <w:spacing w:line="360" w:lineRule="auto"/>
      </w:pPr>
      <w:r>
        <w:rPr>
          <w:rFonts w:ascii="Arial" w:hAnsi="Arial" w:cs="Arial"/>
        </w:rPr>
        <w:t xml:space="preserve">Das Projekt ist in dieser Form mit der Einbindung von Hausärztinnen und Hausärzten, Pflegenden der Altenpflegeeinrichtungen und Apothekerinnen und Apothekern bundesweit </w:t>
      </w:r>
    </w:p>
    <w:p w14:paraId="2B81AD4A" w14:textId="6EE5CAB9" w:rsidR="00903522" w:rsidRDefault="007624CF" w:rsidP="00903522">
      <w:pPr>
        <w:pStyle w:val="Kopfzeile"/>
        <w:tabs>
          <w:tab w:val="left" w:pos="8505"/>
        </w:tabs>
        <w:spacing w:line="360" w:lineRule="auto"/>
      </w:pPr>
      <w:r>
        <w:rPr>
          <w:rFonts w:ascii="Arial" w:hAnsi="Arial" w:cs="Arial"/>
        </w:rPr>
        <w:t>einzigartig. Es wu</w:t>
      </w:r>
      <w:r w:rsidR="00903522">
        <w:rPr>
          <w:rFonts w:ascii="Arial" w:hAnsi="Arial" w:cs="Arial"/>
        </w:rPr>
        <w:t>rden erstmals abgestimmte Strategien zur Verbesserung von Gesundheit und Lebensqualität der Bewohner von Altenhilfeeinrichtungen erarbeitet und andererseits auch die berufliche Zufriedenheit der beteiligten Berufsgruppen spürbar beeinflusst.</w:t>
      </w:r>
    </w:p>
    <w:p w14:paraId="28E1C441" w14:textId="77777777" w:rsidR="00903522" w:rsidRDefault="00903522" w:rsidP="00903522">
      <w:pPr>
        <w:pStyle w:val="Kopfzeile"/>
        <w:tabs>
          <w:tab w:val="left" w:pos="8505"/>
        </w:tabs>
        <w:spacing w:line="360" w:lineRule="auto"/>
      </w:pPr>
    </w:p>
    <w:p w14:paraId="7832B951" w14:textId="57549E11" w:rsidR="00903522" w:rsidRDefault="004A1331" w:rsidP="00903522">
      <w:pPr>
        <w:pStyle w:val="Kopfzeile"/>
        <w:tabs>
          <w:tab w:val="left" w:pos="8505"/>
        </w:tabs>
        <w:spacing w:line="360" w:lineRule="auto"/>
      </w:pPr>
      <w:r>
        <w:rPr>
          <w:rFonts w:ascii="Arial" w:hAnsi="Arial" w:cs="Arial"/>
        </w:rPr>
        <w:t>Geplant und organisiert wurde</w:t>
      </w:r>
      <w:r w:rsidR="00903522">
        <w:rPr>
          <w:rFonts w:ascii="Arial" w:hAnsi="Arial" w:cs="Arial"/>
        </w:rPr>
        <w:t xml:space="preserve"> </w:t>
      </w:r>
      <w:proofErr w:type="spellStart"/>
      <w:r w:rsidR="00903522">
        <w:rPr>
          <w:rFonts w:ascii="Arial" w:hAnsi="Arial" w:cs="Arial"/>
          <w:b/>
        </w:rPr>
        <w:t>InTherAKT</w:t>
      </w:r>
      <w:proofErr w:type="spellEnd"/>
      <w:r w:rsidR="00903522">
        <w:rPr>
          <w:rFonts w:ascii="Arial" w:hAnsi="Arial" w:cs="Arial"/>
        </w:rPr>
        <w:t xml:space="preserve"> von der Paracelsus Medizinischen Privatuniversität (PMU) in Salzburg unter Leitung von Univ.-Prof. Dr. Dr. h.c. Jürgen Osterbrink, Vorstand des Instituts für Pflegewissenschaft und -praxis, und Univ. Prof. Dr. Maria Flamm, MPH, Vorständin des Instituts für Allgemein-, Familien- und Präventivmedizin. An der operativen Ausführung </w:t>
      </w:r>
      <w:r w:rsidR="008F0AEC">
        <w:rPr>
          <w:rFonts w:ascii="Arial" w:hAnsi="Arial" w:cs="Arial"/>
        </w:rPr>
        <w:t>waren</w:t>
      </w:r>
      <w:r w:rsidR="00903522">
        <w:rPr>
          <w:rFonts w:ascii="Arial" w:hAnsi="Arial" w:cs="Arial"/>
        </w:rPr>
        <w:t xml:space="preserve"> neben den wissenschaftlichen Mitarbeitern der universitären Institute in erster Linie der Hausärzteverbund Münster, die Apothekerkammer Westfalen-Lippe sowie die beiden Arbeitsgemeinschaften der </w:t>
      </w:r>
      <w:proofErr w:type="spellStart"/>
      <w:r w:rsidR="00903522">
        <w:rPr>
          <w:rFonts w:ascii="Arial" w:hAnsi="Arial" w:cs="Arial"/>
        </w:rPr>
        <w:t>münster</w:t>
      </w:r>
      <w:r w:rsidR="007624CF">
        <w:rPr>
          <w:rFonts w:ascii="Arial" w:hAnsi="Arial" w:cs="Arial"/>
        </w:rPr>
        <w:t>i</w:t>
      </w:r>
      <w:r w:rsidR="00903522">
        <w:rPr>
          <w:rFonts w:ascii="Arial" w:hAnsi="Arial" w:cs="Arial"/>
        </w:rPr>
        <w:t>schen</w:t>
      </w:r>
      <w:proofErr w:type="spellEnd"/>
      <w:r w:rsidR="00903522">
        <w:rPr>
          <w:rFonts w:ascii="Arial" w:hAnsi="Arial" w:cs="Arial"/>
        </w:rPr>
        <w:t xml:space="preserve"> Altenhilfeeinrichtungen beteiligt. Weitere Partner sind unter anderem die </w:t>
      </w:r>
      <w:r>
        <w:rPr>
          <w:rFonts w:ascii="Arial" w:hAnsi="Arial" w:cs="Arial"/>
        </w:rPr>
        <w:t>BARMER</w:t>
      </w:r>
      <w:r w:rsidR="00903522">
        <w:rPr>
          <w:rFonts w:ascii="Arial" w:hAnsi="Arial" w:cs="Arial"/>
        </w:rPr>
        <w:t>, Stadt und Bezirksregierung Münster sowie die Facharztinitiative Münster. Fördergeber sind die PMU, die Firma Grünenthal GmbH sowie das Land Salzburg.</w:t>
      </w:r>
    </w:p>
    <w:p w14:paraId="4CFC521C" w14:textId="77777777" w:rsidR="00614E83" w:rsidRDefault="00614E83" w:rsidP="007079DE">
      <w:pPr>
        <w:pStyle w:val="Kopfzeile"/>
        <w:tabs>
          <w:tab w:val="clear" w:pos="4536"/>
          <w:tab w:val="clear" w:pos="9072"/>
        </w:tabs>
        <w:spacing w:line="360" w:lineRule="auto"/>
        <w:ind w:right="-1"/>
        <w:rPr>
          <w:rFonts w:ascii="Arial" w:hAnsi="Arial" w:cs="Arial"/>
          <w:b/>
          <w:u w:val="single"/>
        </w:rPr>
      </w:pPr>
    </w:p>
    <w:sectPr w:rsidR="00614E83" w:rsidSect="009F38F1">
      <w:headerReference w:type="even" r:id="rId12"/>
      <w:headerReference w:type="default" r:id="rId13"/>
      <w:footerReference w:type="default" r:id="rId14"/>
      <w:headerReference w:type="first" r:id="rId15"/>
      <w:pgSz w:w="11906" w:h="16838"/>
      <w:pgMar w:top="1809" w:right="1418" w:bottom="1134" w:left="1418" w:header="709"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7BFD6" w14:textId="77777777" w:rsidR="00A72669" w:rsidRDefault="00A72669" w:rsidP="00FF1539">
      <w:pPr>
        <w:spacing w:after="0" w:line="240" w:lineRule="auto"/>
      </w:pPr>
      <w:r>
        <w:separator/>
      </w:r>
    </w:p>
  </w:endnote>
  <w:endnote w:type="continuationSeparator" w:id="0">
    <w:p w14:paraId="7653323A" w14:textId="77777777" w:rsidR="00A72669" w:rsidRDefault="00A72669"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204C" w14:textId="77777777" w:rsidR="000926B1" w:rsidRDefault="000926B1" w:rsidP="001F5774">
    <w:pPr>
      <w:pStyle w:val="RechteSpalte"/>
      <w:tabs>
        <w:tab w:val="left" w:pos="2977"/>
        <w:tab w:val="left" w:pos="6237"/>
      </w:tabs>
      <w:rPr>
        <w:rFonts w:ascii="Arial" w:hAnsi="Arial" w:cs="Arial"/>
        <w:b/>
      </w:rPr>
    </w:pPr>
    <w:r>
      <w:rPr>
        <w:noProof/>
        <w:snapToGrid/>
      </w:rPr>
      <w:drawing>
        <wp:anchor distT="0" distB="0" distL="114300" distR="114300" simplePos="0" relativeHeight="251659264" behindDoc="1" locked="0" layoutInCell="1" allowOverlap="1" wp14:anchorId="40DD28AE" wp14:editId="4D5AB6F7">
          <wp:simplePos x="0" y="0"/>
          <wp:positionH relativeFrom="margin">
            <wp:align>left</wp:align>
          </wp:positionH>
          <wp:positionV relativeFrom="paragraph">
            <wp:posOffset>7620</wp:posOffset>
          </wp:positionV>
          <wp:extent cx="1648800" cy="446400"/>
          <wp:effectExtent l="0" t="0" r="0" b="0"/>
          <wp:wrapNone/>
          <wp:docPr id="27"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800" cy="446400"/>
                  </a:xfrm>
                  <a:prstGeom prst="rect">
                    <a:avLst/>
                  </a:prstGeom>
                  <a:noFill/>
                </pic:spPr>
              </pic:pic>
            </a:graphicData>
          </a:graphic>
          <wp14:sizeRelH relativeFrom="page">
            <wp14:pctWidth>0</wp14:pctWidth>
          </wp14:sizeRelH>
          <wp14:sizeRelV relativeFrom="page">
            <wp14:pctHeight>0</wp14:pctHeight>
          </wp14:sizeRelV>
        </wp:anchor>
      </w:drawing>
    </w:r>
    <w:r>
      <w:rPr>
        <w:noProof/>
      </w:rPr>
      <w:tab/>
    </w:r>
    <w:r w:rsidRPr="001D5569">
      <w:rPr>
        <w:rFonts w:ascii="Arial" w:hAnsi="Arial" w:cs="Arial"/>
        <w:b/>
      </w:rPr>
      <w:t>Herausgeber:</w:t>
    </w:r>
    <w:r>
      <w:rPr>
        <w:rFonts w:ascii="Arial" w:hAnsi="Arial" w:cs="Arial"/>
        <w:b/>
      </w:rPr>
      <w:tab/>
      <w:t>Kontakt Presse</w:t>
    </w:r>
    <w:r w:rsidRPr="001D5569">
      <w:rPr>
        <w:rFonts w:ascii="Arial" w:hAnsi="Arial" w:cs="Arial"/>
        <w:b/>
      </w:rPr>
      <w:t>:</w:t>
    </w:r>
  </w:p>
  <w:p w14:paraId="3C410696" w14:textId="77777777" w:rsidR="000926B1" w:rsidRPr="001D5569" w:rsidRDefault="000926B1" w:rsidP="001F5774">
    <w:pPr>
      <w:pStyle w:val="RechteSpalte"/>
      <w:tabs>
        <w:tab w:val="left" w:pos="2977"/>
        <w:tab w:val="left" w:pos="6237"/>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14:paraId="25A68687" w14:textId="77777777" w:rsidR="000926B1" w:rsidRDefault="000926B1" w:rsidP="001F5774">
    <w:pPr>
      <w:pStyle w:val="RechteSpalte"/>
      <w:tabs>
        <w:tab w:val="left" w:pos="2977"/>
        <w:tab w:val="left" w:pos="6237"/>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14:paraId="0083C150" w14:textId="77777777" w:rsidR="000926B1" w:rsidRDefault="000926B1" w:rsidP="001F5774">
    <w:pPr>
      <w:pStyle w:val="RechteSpalte"/>
      <w:tabs>
        <w:tab w:val="left" w:pos="2977"/>
        <w:tab w:val="left" w:pos="6237"/>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t>48157</w:t>
    </w:r>
    <w:r w:rsidRPr="001D5569">
      <w:rPr>
        <w:rFonts w:ascii="Arial" w:hAnsi="Arial" w:cs="Arial"/>
      </w:rPr>
      <w:t xml:space="preserve"> Münster</w:t>
    </w:r>
    <w:r>
      <w:rPr>
        <w:rFonts w:ascii="Arial" w:hAnsi="Arial" w:cs="Arial"/>
      </w:rPr>
      <w:t xml:space="preserve">, </w:t>
    </w:r>
    <w:proofErr w:type="spellStart"/>
    <w:r>
      <w:rPr>
        <w:rFonts w:ascii="Arial" w:hAnsi="Arial" w:cs="Arial"/>
      </w:rPr>
      <w:t>Petronillaplatz</w:t>
    </w:r>
    <w:proofErr w:type="spellEnd"/>
    <w:r>
      <w:rPr>
        <w:rFonts w:ascii="Arial" w:hAnsi="Arial" w:cs="Arial"/>
      </w:rPr>
      <w:t xml:space="preserve"> 2</w:t>
    </w:r>
  </w:p>
  <w:p w14:paraId="599BCC7D" w14:textId="77777777" w:rsidR="000926B1" w:rsidRPr="00147093" w:rsidRDefault="000926B1" w:rsidP="00813D4F">
    <w:pPr>
      <w:pStyle w:val="RechteSpalte"/>
      <w:tabs>
        <w:tab w:val="left" w:pos="2977"/>
        <w:tab w:val="left" w:pos="6237"/>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14:paraId="4900BA9E" w14:textId="77777777" w:rsidR="000926B1" w:rsidRPr="00666F02" w:rsidRDefault="000926B1" w:rsidP="001F5774">
    <w:pPr>
      <w:pStyle w:val="RechteSpalte"/>
      <w:tabs>
        <w:tab w:val="left" w:pos="2977"/>
        <w:tab w:val="left" w:pos="6237"/>
      </w:tabs>
      <w:rPr>
        <w:rFonts w:ascii="Arial" w:hAnsi="Arial" w:cs="Arial"/>
        <w:lang w:val="fr-FR"/>
      </w:rPr>
    </w:pPr>
    <w:r w:rsidRPr="00147093">
      <w:rPr>
        <w:rFonts w:ascii="Arial" w:hAnsi="Arial" w:cs="Arial"/>
      </w:rPr>
      <w:tab/>
    </w:r>
    <w:r w:rsidRPr="00666F02">
      <w:rPr>
        <w:rFonts w:ascii="Arial" w:hAnsi="Arial" w:cs="Arial"/>
        <w:lang w:val="fr-FR"/>
      </w:rPr>
      <w:t>Fax: 0251 / 32 22 92 14</w:t>
    </w:r>
    <w:r w:rsidRPr="00666F02">
      <w:rPr>
        <w:rFonts w:ascii="Arial" w:hAnsi="Arial" w:cs="Arial"/>
        <w:lang w:val="fr-FR"/>
      </w:rPr>
      <w:tab/>
      <w:t>Fax: 0251 922669-19</w:t>
    </w:r>
  </w:p>
  <w:p w14:paraId="3C041138" w14:textId="3F2991FA" w:rsidR="000926B1" w:rsidRPr="00666F02" w:rsidRDefault="000926B1" w:rsidP="001F5774">
    <w:pPr>
      <w:pStyle w:val="RechteSpalte"/>
      <w:tabs>
        <w:tab w:val="left" w:pos="2977"/>
        <w:tab w:val="left" w:pos="6237"/>
      </w:tabs>
      <w:rPr>
        <w:rFonts w:ascii="Arial" w:hAnsi="Arial" w:cs="Arial"/>
        <w:lang w:val="fr-FR"/>
      </w:rPr>
    </w:pPr>
    <w:r w:rsidRPr="00666F02">
      <w:rPr>
        <w:rFonts w:ascii="Arial" w:hAnsi="Arial" w:cs="Arial"/>
        <w:lang w:val="fr-FR"/>
      </w:rPr>
      <w:tab/>
      <w:t>info@intherakt.de</w:t>
    </w:r>
    <w:r w:rsidRPr="00666F02">
      <w:rPr>
        <w:rFonts w:ascii="Arial" w:hAnsi="Arial" w:cs="Arial"/>
        <w:lang w:val="fr-FR"/>
      </w:rPr>
      <w:tab/>
    </w:r>
    <w:proofErr w:type="spellStart"/>
    <w:r w:rsidRPr="00666F02">
      <w:rPr>
        <w:rFonts w:ascii="Arial" w:hAnsi="Arial" w:cs="Arial"/>
        <w:lang w:val="fr-FR"/>
      </w:rPr>
      <w:t>babette.licht</w:t>
    </w:r>
    <w:r w:rsidR="001F5774">
      <w:rPr>
        <w:rFonts w:ascii="Arial" w:hAnsi="Arial" w:cs="Arial"/>
        <w:lang w:val="fr-FR"/>
      </w:rPr>
      <w:t>enstein@medienhaus</w:t>
    </w:r>
    <w:proofErr w:type="spellEnd"/>
    <w:r w:rsidR="001F5774">
      <w:rPr>
        <w:rFonts w:ascii="Arial" w:hAnsi="Arial" w:cs="Arial"/>
        <w:lang w:val="fr-FR"/>
      </w:rPr>
      <w:t>-</w:t>
    </w:r>
    <w:r w:rsidR="001F5774">
      <w:rPr>
        <w:rFonts w:ascii="Arial" w:hAnsi="Arial" w:cs="Arial"/>
        <w:lang w:val="fr-FR"/>
      </w:rPr>
      <w:tab/>
    </w:r>
    <w:r w:rsidR="001F5774">
      <w:rPr>
        <w:rFonts w:ascii="Arial" w:hAnsi="Arial" w:cs="Arial"/>
        <w:lang w:val="fr-FR"/>
      </w:rPr>
      <w:tab/>
    </w:r>
    <w:r w:rsidRPr="00666F02">
      <w:rPr>
        <w:rFonts w:ascii="Arial" w:hAnsi="Arial" w:cs="Arial"/>
        <w:lang w:val="fr-FR"/>
      </w:rPr>
      <w:t>muenster.de</w:t>
    </w:r>
  </w:p>
  <w:p w14:paraId="69C32477" w14:textId="77777777" w:rsidR="000926B1" w:rsidRDefault="000926B1" w:rsidP="001F5774">
    <w:pPr>
      <w:pStyle w:val="Fuzeile"/>
      <w:rPr>
        <w:rFonts w:ascii="Tahoma" w:hAnsi="Tahoma" w:cs="Tahoma"/>
        <w:sz w:val="18"/>
        <w:szCs w:val="18"/>
      </w:rPr>
    </w:pPr>
    <w:r>
      <w:rPr>
        <w:noProof/>
        <w:lang w:eastAsia="de-DE"/>
      </w:rPr>
      <w:t>InTherAKT Therapieren heißt kooperieren</w:t>
    </w:r>
    <w:r w:rsidRPr="007002BF">
      <w:rPr>
        <w:rFonts w:ascii="Tahoma" w:hAnsi="Tahoma" w:cs="Tahoma"/>
        <w:sz w:val="18"/>
        <w:szCs w:val="18"/>
      </w:rPr>
      <w:t xml:space="preserve"> | www.</w:t>
    </w:r>
    <w:r>
      <w:rPr>
        <w:rFonts w:ascii="Tahoma" w:hAnsi="Tahoma" w:cs="Tahoma"/>
        <w:sz w:val="18"/>
        <w:szCs w:val="18"/>
      </w:rPr>
      <w:t>intherakt</w:t>
    </w:r>
    <w:r w:rsidRPr="007002BF">
      <w:rPr>
        <w:rFonts w:ascii="Tahoma" w:hAnsi="Tahoma" w:cs="Tahoma"/>
        <w:sz w:val="18"/>
        <w:szCs w:val="18"/>
      </w:rPr>
      <w:t>.de</w:t>
    </w:r>
  </w:p>
  <w:p w14:paraId="5F6525AC" w14:textId="77777777" w:rsidR="009D0161" w:rsidRPr="007002BF" w:rsidRDefault="009D0161" w:rsidP="001F5774">
    <w:pPr>
      <w:pStyle w:val="Fuzeile"/>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0E845" w14:textId="77777777" w:rsidR="00A72669" w:rsidRDefault="00A72669" w:rsidP="00FF1539">
      <w:pPr>
        <w:spacing w:after="0" w:line="240" w:lineRule="auto"/>
      </w:pPr>
      <w:r>
        <w:separator/>
      </w:r>
    </w:p>
  </w:footnote>
  <w:footnote w:type="continuationSeparator" w:id="0">
    <w:p w14:paraId="3147690A" w14:textId="77777777" w:rsidR="00A72669" w:rsidRDefault="00A72669"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47609" w14:textId="77777777" w:rsidR="000926B1" w:rsidRDefault="00A72669">
    <w:pPr>
      <w:pStyle w:val="Kopfzeile"/>
    </w:pPr>
    <w:r>
      <w:rPr>
        <w:noProof/>
        <w:lang w:eastAsia="de-DE"/>
      </w:rPr>
      <w:pict w14:anchorId="632A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066CF" w14:textId="38714B0B" w:rsidR="000926B1" w:rsidRPr="00FF1539" w:rsidRDefault="004715F2" w:rsidP="00B1662F">
    <w:pPr>
      <w:pStyle w:val="Kopfzeile"/>
      <w:tabs>
        <w:tab w:val="left" w:pos="1365"/>
      </w:tabs>
      <w:ind w:right="-1136"/>
    </w:pPr>
    <w:r>
      <w:rPr>
        <w:noProof/>
        <w:lang w:eastAsia="de-DE"/>
      </w:rPr>
      <w:drawing>
        <wp:anchor distT="0" distB="0" distL="114300" distR="114300" simplePos="0" relativeHeight="251660288" behindDoc="1" locked="0" layoutInCell="1" allowOverlap="1" wp14:anchorId="4BF924DF" wp14:editId="118535D5">
          <wp:simplePos x="0" y="0"/>
          <wp:positionH relativeFrom="margin">
            <wp:align>right</wp:align>
          </wp:positionH>
          <wp:positionV relativeFrom="paragraph">
            <wp:posOffset>-165735</wp:posOffset>
          </wp:positionV>
          <wp:extent cx="2127600" cy="576000"/>
          <wp:effectExtent l="0" t="0" r="6350" b="0"/>
          <wp:wrapTight wrapText="bothSides">
            <wp:wrapPolygon edited="0">
              <wp:start x="1934" y="0"/>
              <wp:lineTo x="0" y="0"/>
              <wp:lineTo x="0" y="5716"/>
              <wp:lineTo x="387" y="17861"/>
              <wp:lineTo x="2321" y="20004"/>
              <wp:lineTo x="8704" y="20719"/>
              <wp:lineTo x="17602" y="20719"/>
              <wp:lineTo x="21278" y="20004"/>
              <wp:lineTo x="21471" y="19290"/>
              <wp:lineTo x="21471" y="3572"/>
              <wp:lineTo x="3869" y="0"/>
              <wp:lineTo x="1934" y="0"/>
            </wp:wrapPolygon>
          </wp:wrapTight>
          <wp:docPr id="26"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descr="Logo InTherAKT RZ_fi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600" cy="576000"/>
                  </a:xfrm>
                  <a:prstGeom prst="rect">
                    <a:avLst/>
                  </a:prstGeom>
                  <a:noFill/>
                </pic:spPr>
              </pic:pic>
            </a:graphicData>
          </a:graphic>
          <wp14:sizeRelH relativeFrom="margin">
            <wp14:pctWidth>0</wp14:pctWidth>
          </wp14:sizeRelH>
          <wp14:sizeRelV relativeFrom="margin">
            <wp14:pctHeight>0</wp14:pctHeight>
          </wp14:sizeRelV>
        </wp:anchor>
      </w:drawing>
    </w:r>
    <w:r w:rsidR="00B1662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8704" w14:textId="77777777" w:rsidR="000926B1" w:rsidRDefault="00A72669">
    <w:pPr>
      <w:pStyle w:val="Kopfzeile"/>
    </w:pPr>
    <w:r>
      <w:rPr>
        <w:noProof/>
        <w:lang w:eastAsia="de-DE"/>
      </w:rPr>
      <w:pict w14:anchorId="4A4B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200D7"/>
    <w:rsid w:val="0002371D"/>
    <w:rsid w:val="000315A7"/>
    <w:rsid w:val="0003607F"/>
    <w:rsid w:val="000437AE"/>
    <w:rsid w:val="000563D7"/>
    <w:rsid w:val="00057DD5"/>
    <w:rsid w:val="00061DCD"/>
    <w:rsid w:val="00072C16"/>
    <w:rsid w:val="00083573"/>
    <w:rsid w:val="000923B4"/>
    <w:rsid w:val="000926B1"/>
    <w:rsid w:val="0009314E"/>
    <w:rsid w:val="00093E5C"/>
    <w:rsid w:val="00096D12"/>
    <w:rsid w:val="000A1E7A"/>
    <w:rsid w:val="000A3AD6"/>
    <w:rsid w:val="000A6AD6"/>
    <w:rsid w:val="000B278A"/>
    <w:rsid w:val="000C4E59"/>
    <w:rsid w:val="000C76E1"/>
    <w:rsid w:val="000C7EBA"/>
    <w:rsid w:val="000E5ADB"/>
    <w:rsid w:val="000F17EC"/>
    <w:rsid w:val="000F67F6"/>
    <w:rsid w:val="0010065A"/>
    <w:rsid w:val="001062F9"/>
    <w:rsid w:val="00114312"/>
    <w:rsid w:val="00134DBD"/>
    <w:rsid w:val="0013713A"/>
    <w:rsid w:val="00147093"/>
    <w:rsid w:val="00163FA4"/>
    <w:rsid w:val="00166496"/>
    <w:rsid w:val="00175F09"/>
    <w:rsid w:val="00177B2B"/>
    <w:rsid w:val="0018322A"/>
    <w:rsid w:val="00183E01"/>
    <w:rsid w:val="001938C2"/>
    <w:rsid w:val="0019584F"/>
    <w:rsid w:val="00197589"/>
    <w:rsid w:val="001A63C0"/>
    <w:rsid w:val="001A6609"/>
    <w:rsid w:val="001A6B76"/>
    <w:rsid w:val="001B42F0"/>
    <w:rsid w:val="001B734A"/>
    <w:rsid w:val="001C0A23"/>
    <w:rsid w:val="001C1E15"/>
    <w:rsid w:val="001C21C8"/>
    <w:rsid w:val="001C2ECF"/>
    <w:rsid w:val="001C37CA"/>
    <w:rsid w:val="001C40E7"/>
    <w:rsid w:val="001D507A"/>
    <w:rsid w:val="001D5569"/>
    <w:rsid w:val="001D7869"/>
    <w:rsid w:val="001E07BF"/>
    <w:rsid w:val="001F3FD9"/>
    <w:rsid w:val="001F41E9"/>
    <w:rsid w:val="001F5774"/>
    <w:rsid w:val="00200A77"/>
    <w:rsid w:val="00203C1B"/>
    <w:rsid w:val="002200E0"/>
    <w:rsid w:val="002253BB"/>
    <w:rsid w:val="00225ADB"/>
    <w:rsid w:val="00226717"/>
    <w:rsid w:val="0024075F"/>
    <w:rsid w:val="00246EB3"/>
    <w:rsid w:val="00274CEA"/>
    <w:rsid w:val="00274E49"/>
    <w:rsid w:val="0027785F"/>
    <w:rsid w:val="00280FDE"/>
    <w:rsid w:val="002845F0"/>
    <w:rsid w:val="0029012F"/>
    <w:rsid w:val="0029082E"/>
    <w:rsid w:val="00290E71"/>
    <w:rsid w:val="0029135D"/>
    <w:rsid w:val="0029247A"/>
    <w:rsid w:val="00296C0D"/>
    <w:rsid w:val="002A1BE6"/>
    <w:rsid w:val="002A2D06"/>
    <w:rsid w:val="002A2DBC"/>
    <w:rsid w:val="002B6028"/>
    <w:rsid w:val="002C2EF0"/>
    <w:rsid w:val="002C2F5D"/>
    <w:rsid w:val="002C6B86"/>
    <w:rsid w:val="002D3679"/>
    <w:rsid w:val="002D6C6F"/>
    <w:rsid w:val="002E544E"/>
    <w:rsid w:val="002E75FF"/>
    <w:rsid w:val="002F4B30"/>
    <w:rsid w:val="002F4D52"/>
    <w:rsid w:val="0030005D"/>
    <w:rsid w:val="00306EAF"/>
    <w:rsid w:val="00307470"/>
    <w:rsid w:val="0031705C"/>
    <w:rsid w:val="003325A2"/>
    <w:rsid w:val="00332CE8"/>
    <w:rsid w:val="00340A13"/>
    <w:rsid w:val="003411AE"/>
    <w:rsid w:val="00341428"/>
    <w:rsid w:val="00342A8B"/>
    <w:rsid w:val="00346C97"/>
    <w:rsid w:val="00350858"/>
    <w:rsid w:val="0035622F"/>
    <w:rsid w:val="0037152A"/>
    <w:rsid w:val="00371A1F"/>
    <w:rsid w:val="00371CD5"/>
    <w:rsid w:val="00380491"/>
    <w:rsid w:val="00386ADA"/>
    <w:rsid w:val="00390706"/>
    <w:rsid w:val="003A2DEA"/>
    <w:rsid w:val="003B55A6"/>
    <w:rsid w:val="003C23F4"/>
    <w:rsid w:val="003C3B69"/>
    <w:rsid w:val="003D1C6A"/>
    <w:rsid w:val="003D4186"/>
    <w:rsid w:val="004013EE"/>
    <w:rsid w:val="004058BB"/>
    <w:rsid w:val="00412B1F"/>
    <w:rsid w:val="004161AE"/>
    <w:rsid w:val="00422B38"/>
    <w:rsid w:val="004334D9"/>
    <w:rsid w:val="00442C2D"/>
    <w:rsid w:val="004435B7"/>
    <w:rsid w:val="0044436B"/>
    <w:rsid w:val="00453C92"/>
    <w:rsid w:val="00464275"/>
    <w:rsid w:val="004669D9"/>
    <w:rsid w:val="004715F2"/>
    <w:rsid w:val="00471DB2"/>
    <w:rsid w:val="004828FD"/>
    <w:rsid w:val="00486DDA"/>
    <w:rsid w:val="00495914"/>
    <w:rsid w:val="004A1331"/>
    <w:rsid w:val="004A1E8C"/>
    <w:rsid w:val="004B2F6D"/>
    <w:rsid w:val="004B5A1F"/>
    <w:rsid w:val="004D1429"/>
    <w:rsid w:val="004D2601"/>
    <w:rsid w:val="004D6B56"/>
    <w:rsid w:val="004E1A11"/>
    <w:rsid w:val="004E5AE4"/>
    <w:rsid w:val="004E7FED"/>
    <w:rsid w:val="004F60F1"/>
    <w:rsid w:val="004F7559"/>
    <w:rsid w:val="004F7C5C"/>
    <w:rsid w:val="00506E0E"/>
    <w:rsid w:val="00507210"/>
    <w:rsid w:val="00507C2B"/>
    <w:rsid w:val="005141E0"/>
    <w:rsid w:val="00525EFE"/>
    <w:rsid w:val="00531A34"/>
    <w:rsid w:val="00535B29"/>
    <w:rsid w:val="00541F7B"/>
    <w:rsid w:val="00544715"/>
    <w:rsid w:val="00546998"/>
    <w:rsid w:val="00546BD6"/>
    <w:rsid w:val="00552845"/>
    <w:rsid w:val="005547DD"/>
    <w:rsid w:val="0056747B"/>
    <w:rsid w:val="005720AD"/>
    <w:rsid w:val="005733E1"/>
    <w:rsid w:val="005737A6"/>
    <w:rsid w:val="0057485A"/>
    <w:rsid w:val="00574FE6"/>
    <w:rsid w:val="00587FF6"/>
    <w:rsid w:val="00595A44"/>
    <w:rsid w:val="005B472A"/>
    <w:rsid w:val="005C14E5"/>
    <w:rsid w:val="005C3A2F"/>
    <w:rsid w:val="005D4266"/>
    <w:rsid w:val="005E37EC"/>
    <w:rsid w:val="005E4610"/>
    <w:rsid w:val="00601B8D"/>
    <w:rsid w:val="00607C99"/>
    <w:rsid w:val="00613CD6"/>
    <w:rsid w:val="00614E83"/>
    <w:rsid w:val="00615623"/>
    <w:rsid w:val="006275B8"/>
    <w:rsid w:val="0063054D"/>
    <w:rsid w:val="006340B2"/>
    <w:rsid w:val="00636493"/>
    <w:rsid w:val="006467E5"/>
    <w:rsid w:val="006502D4"/>
    <w:rsid w:val="00662583"/>
    <w:rsid w:val="006627BA"/>
    <w:rsid w:val="00666F02"/>
    <w:rsid w:val="00667B80"/>
    <w:rsid w:val="00670216"/>
    <w:rsid w:val="00673735"/>
    <w:rsid w:val="006808ED"/>
    <w:rsid w:val="00681320"/>
    <w:rsid w:val="00681D6F"/>
    <w:rsid w:val="00683C1B"/>
    <w:rsid w:val="006902E6"/>
    <w:rsid w:val="006909BF"/>
    <w:rsid w:val="00694667"/>
    <w:rsid w:val="006A05EF"/>
    <w:rsid w:val="006A0A46"/>
    <w:rsid w:val="006A3B7B"/>
    <w:rsid w:val="006B730C"/>
    <w:rsid w:val="006C1C09"/>
    <w:rsid w:val="006C3923"/>
    <w:rsid w:val="006D1D30"/>
    <w:rsid w:val="006D232C"/>
    <w:rsid w:val="006D6ECA"/>
    <w:rsid w:val="006E717D"/>
    <w:rsid w:val="006F6937"/>
    <w:rsid w:val="006F69F2"/>
    <w:rsid w:val="007002BF"/>
    <w:rsid w:val="00700DCE"/>
    <w:rsid w:val="007061B2"/>
    <w:rsid w:val="007079DE"/>
    <w:rsid w:val="00710253"/>
    <w:rsid w:val="00711428"/>
    <w:rsid w:val="00724FF6"/>
    <w:rsid w:val="0072623F"/>
    <w:rsid w:val="00730CB4"/>
    <w:rsid w:val="00733C62"/>
    <w:rsid w:val="007342DC"/>
    <w:rsid w:val="00737870"/>
    <w:rsid w:val="00740EE6"/>
    <w:rsid w:val="007509B6"/>
    <w:rsid w:val="00750ADA"/>
    <w:rsid w:val="0075170D"/>
    <w:rsid w:val="00751DD0"/>
    <w:rsid w:val="0075322F"/>
    <w:rsid w:val="00760F01"/>
    <w:rsid w:val="007621C4"/>
    <w:rsid w:val="007624CF"/>
    <w:rsid w:val="007676CB"/>
    <w:rsid w:val="00774E66"/>
    <w:rsid w:val="00777470"/>
    <w:rsid w:val="00777C5D"/>
    <w:rsid w:val="00780DAF"/>
    <w:rsid w:val="0079259A"/>
    <w:rsid w:val="007A0785"/>
    <w:rsid w:val="007B126F"/>
    <w:rsid w:val="007B4072"/>
    <w:rsid w:val="007B6097"/>
    <w:rsid w:val="007B7C59"/>
    <w:rsid w:val="007D2FF5"/>
    <w:rsid w:val="007D30FB"/>
    <w:rsid w:val="007F4987"/>
    <w:rsid w:val="00806DA4"/>
    <w:rsid w:val="00813D4F"/>
    <w:rsid w:val="00816D5D"/>
    <w:rsid w:val="00817B92"/>
    <w:rsid w:val="008203AB"/>
    <w:rsid w:val="008323C5"/>
    <w:rsid w:val="00837B28"/>
    <w:rsid w:val="0085035B"/>
    <w:rsid w:val="00855622"/>
    <w:rsid w:val="00857CEB"/>
    <w:rsid w:val="008612A4"/>
    <w:rsid w:val="00871977"/>
    <w:rsid w:val="00876256"/>
    <w:rsid w:val="0088475A"/>
    <w:rsid w:val="0088762C"/>
    <w:rsid w:val="0089643A"/>
    <w:rsid w:val="008A0729"/>
    <w:rsid w:val="008A0E3F"/>
    <w:rsid w:val="008A3CFE"/>
    <w:rsid w:val="008A6623"/>
    <w:rsid w:val="008A7C73"/>
    <w:rsid w:val="008B1D01"/>
    <w:rsid w:val="008C02FE"/>
    <w:rsid w:val="008C42D4"/>
    <w:rsid w:val="008C50C0"/>
    <w:rsid w:val="008D6179"/>
    <w:rsid w:val="008D6E13"/>
    <w:rsid w:val="008E53C2"/>
    <w:rsid w:val="008F063E"/>
    <w:rsid w:val="008F0AEC"/>
    <w:rsid w:val="00903522"/>
    <w:rsid w:val="009144F3"/>
    <w:rsid w:val="0091774C"/>
    <w:rsid w:val="00932ED5"/>
    <w:rsid w:val="00942616"/>
    <w:rsid w:val="00942DA5"/>
    <w:rsid w:val="009461F5"/>
    <w:rsid w:val="00946D48"/>
    <w:rsid w:val="00952612"/>
    <w:rsid w:val="00954A19"/>
    <w:rsid w:val="009618C7"/>
    <w:rsid w:val="009667FC"/>
    <w:rsid w:val="009716AC"/>
    <w:rsid w:val="0097191D"/>
    <w:rsid w:val="0098119D"/>
    <w:rsid w:val="00983AA0"/>
    <w:rsid w:val="009A1555"/>
    <w:rsid w:val="009A4CBD"/>
    <w:rsid w:val="009B2AC6"/>
    <w:rsid w:val="009B5599"/>
    <w:rsid w:val="009B6FD9"/>
    <w:rsid w:val="009C4CFF"/>
    <w:rsid w:val="009D0161"/>
    <w:rsid w:val="009E7968"/>
    <w:rsid w:val="009F0A75"/>
    <w:rsid w:val="009F2E50"/>
    <w:rsid w:val="009F38F1"/>
    <w:rsid w:val="009F65F5"/>
    <w:rsid w:val="00A06E60"/>
    <w:rsid w:val="00A15B9B"/>
    <w:rsid w:val="00A24BE4"/>
    <w:rsid w:val="00A3276D"/>
    <w:rsid w:val="00A61B2D"/>
    <w:rsid w:val="00A6328B"/>
    <w:rsid w:val="00A72669"/>
    <w:rsid w:val="00A75406"/>
    <w:rsid w:val="00A87889"/>
    <w:rsid w:val="00AA40D3"/>
    <w:rsid w:val="00AA45BB"/>
    <w:rsid w:val="00AB1570"/>
    <w:rsid w:val="00AB35E1"/>
    <w:rsid w:val="00AC2AE2"/>
    <w:rsid w:val="00AC4B4B"/>
    <w:rsid w:val="00AD04FC"/>
    <w:rsid w:val="00AD44E1"/>
    <w:rsid w:val="00AD76CA"/>
    <w:rsid w:val="00AE0BB9"/>
    <w:rsid w:val="00AE5A8F"/>
    <w:rsid w:val="00AE6B96"/>
    <w:rsid w:val="00AF031D"/>
    <w:rsid w:val="00AF2C62"/>
    <w:rsid w:val="00AF5865"/>
    <w:rsid w:val="00B1662F"/>
    <w:rsid w:val="00B16E99"/>
    <w:rsid w:val="00B2268B"/>
    <w:rsid w:val="00B30A9E"/>
    <w:rsid w:val="00B34034"/>
    <w:rsid w:val="00B42D73"/>
    <w:rsid w:val="00B45A8D"/>
    <w:rsid w:val="00B5425F"/>
    <w:rsid w:val="00B561EF"/>
    <w:rsid w:val="00B57FE8"/>
    <w:rsid w:val="00B65E07"/>
    <w:rsid w:val="00B67A97"/>
    <w:rsid w:val="00B7390C"/>
    <w:rsid w:val="00B84D2C"/>
    <w:rsid w:val="00B85F85"/>
    <w:rsid w:val="00B95549"/>
    <w:rsid w:val="00BA2740"/>
    <w:rsid w:val="00BA7B03"/>
    <w:rsid w:val="00BB4BD7"/>
    <w:rsid w:val="00BB5F8E"/>
    <w:rsid w:val="00BB6EE9"/>
    <w:rsid w:val="00BC0BBC"/>
    <w:rsid w:val="00BC13CC"/>
    <w:rsid w:val="00BD0179"/>
    <w:rsid w:val="00BE74C3"/>
    <w:rsid w:val="00BF271B"/>
    <w:rsid w:val="00C11345"/>
    <w:rsid w:val="00C12347"/>
    <w:rsid w:val="00C1786C"/>
    <w:rsid w:val="00C230CE"/>
    <w:rsid w:val="00C41D3B"/>
    <w:rsid w:val="00C42EC5"/>
    <w:rsid w:val="00C43065"/>
    <w:rsid w:val="00C510B2"/>
    <w:rsid w:val="00C55F34"/>
    <w:rsid w:val="00C63E3B"/>
    <w:rsid w:val="00C66A21"/>
    <w:rsid w:val="00C760BA"/>
    <w:rsid w:val="00C803A6"/>
    <w:rsid w:val="00C8049B"/>
    <w:rsid w:val="00C8104E"/>
    <w:rsid w:val="00C82F40"/>
    <w:rsid w:val="00C85895"/>
    <w:rsid w:val="00C8694D"/>
    <w:rsid w:val="00C947AB"/>
    <w:rsid w:val="00C97D67"/>
    <w:rsid w:val="00C97F99"/>
    <w:rsid w:val="00CA1398"/>
    <w:rsid w:val="00CA1FD6"/>
    <w:rsid w:val="00CA24B3"/>
    <w:rsid w:val="00CA738B"/>
    <w:rsid w:val="00CA74A7"/>
    <w:rsid w:val="00CB006B"/>
    <w:rsid w:val="00CB43BA"/>
    <w:rsid w:val="00CC042A"/>
    <w:rsid w:val="00CC138B"/>
    <w:rsid w:val="00CC5CA3"/>
    <w:rsid w:val="00CC65CD"/>
    <w:rsid w:val="00CD4991"/>
    <w:rsid w:val="00CE0025"/>
    <w:rsid w:val="00CE5D16"/>
    <w:rsid w:val="00CF0D55"/>
    <w:rsid w:val="00CF264E"/>
    <w:rsid w:val="00CF7C2C"/>
    <w:rsid w:val="00D3234A"/>
    <w:rsid w:val="00D34D87"/>
    <w:rsid w:val="00D417A4"/>
    <w:rsid w:val="00D41895"/>
    <w:rsid w:val="00D444F8"/>
    <w:rsid w:val="00D470D8"/>
    <w:rsid w:val="00D6271D"/>
    <w:rsid w:val="00D67C37"/>
    <w:rsid w:val="00D772EF"/>
    <w:rsid w:val="00D92AEE"/>
    <w:rsid w:val="00D93152"/>
    <w:rsid w:val="00DA5F7A"/>
    <w:rsid w:val="00DA6840"/>
    <w:rsid w:val="00DB096B"/>
    <w:rsid w:val="00DB2378"/>
    <w:rsid w:val="00DC1CB5"/>
    <w:rsid w:val="00DC33AE"/>
    <w:rsid w:val="00DC7A10"/>
    <w:rsid w:val="00DD1978"/>
    <w:rsid w:val="00DD7259"/>
    <w:rsid w:val="00DE1AD0"/>
    <w:rsid w:val="00DE2F3A"/>
    <w:rsid w:val="00DE6AA1"/>
    <w:rsid w:val="00DF08D2"/>
    <w:rsid w:val="00E00036"/>
    <w:rsid w:val="00E06973"/>
    <w:rsid w:val="00E12A91"/>
    <w:rsid w:val="00E14E09"/>
    <w:rsid w:val="00E21332"/>
    <w:rsid w:val="00E227BC"/>
    <w:rsid w:val="00E23E1A"/>
    <w:rsid w:val="00E25E10"/>
    <w:rsid w:val="00E306EE"/>
    <w:rsid w:val="00E42FFE"/>
    <w:rsid w:val="00E465A4"/>
    <w:rsid w:val="00E474EA"/>
    <w:rsid w:val="00E60DFB"/>
    <w:rsid w:val="00E6139C"/>
    <w:rsid w:val="00E67718"/>
    <w:rsid w:val="00E67A01"/>
    <w:rsid w:val="00E72075"/>
    <w:rsid w:val="00E909F9"/>
    <w:rsid w:val="00EB123B"/>
    <w:rsid w:val="00EB28B3"/>
    <w:rsid w:val="00EB740A"/>
    <w:rsid w:val="00EC4509"/>
    <w:rsid w:val="00ED1F45"/>
    <w:rsid w:val="00ED2D0D"/>
    <w:rsid w:val="00EF07D7"/>
    <w:rsid w:val="00EF5634"/>
    <w:rsid w:val="00F04CB8"/>
    <w:rsid w:val="00F133F2"/>
    <w:rsid w:val="00F23C26"/>
    <w:rsid w:val="00F31BA4"/>
    <w:rsid w:val="00F33FE4"/>
    <w:rsid w:val="00F36B6F"/>
    <w:rsid w:val="00F3744B"/>
    <w:rsid w:val="00F4217E"/>
    <w:rsid w:val="00F47069"/>
    <w:rsid w:val="00F50473"/>
    <w:rsid w:val="00F54946"/>
    <w:rsid w:val="00F5617E"/>
    <w:rsid w:val="00F6058A"/>
    <w:rsid w:val="00F6081E"/>
    <w:rsid w:val="00F6421D"/>
    <w:rsid w:val="00F65D9B"/>
    <w:rsid w:val="00F6749D"/>
    <w:rsid w:val="00F726C1"/>
    <w:rsid w:val="00F835D1"/>
    <w:rsid w:val="00F847DF"/>
    <w:rsid w:val="00F85063"/>
    <w:rsid w:val="00F941E5"/>
    <w:rsid w:val="00F95210"/>
    <w:rsid w:val="00FA497E"/>
    <w:rsid w:val="00FA7AD7"/>
    <w:rsid w:val="00FA7F4F"/>
    <w:rsid w:val="00FB1204"/>
    <w:rsid w:val="00FB3C10"/>
    <w:rsid w:val="00FC287E"/>
    <w:rsid w:val="00FC495E"/>
    <w:rsid w:val="00FC611C"/>
    <w:rsid w:val="00FD1B9D"/>
    <w:rsid w:val="00FD2531"/>
    <w:rsid w:val="00FE4AF7"/>
    <w:rsid w:val="00FF1539"/>
    <w:rsid w:val="00FF1578"/>
    <w:rsid w:val="00FF4F82"/>
    <w:rsid w:val="00FF5A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574F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 w:type="character" w:customStyle="1" w:styleId="UnresolvedMention">
    <w:name w:val="Unresolved Mention"/>
    <w:basedOn w:val="Absatz-Standardschriftart"/>
    <w:uiPriority w:val="99"/>
    <w:semiHidden/>
    <w:unhideWhenUsed/>
    <w:rsid w:val="00B1662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 w:type="character" w:customStyle="1" w:styleId="UnresolvedMention">
    <w:name w:val="Unresolved Mention"/>
    <w:basedOn w:val="Absatz-Standardschriftart"/>
    <w:uiPriority w:val="99"/>
    <w:semiHidden/>
    <w:unhideWhenUsed/>
    <w:rsid w:val="00B166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73370135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448114718">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herAKT.d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40CF7-2BA8-4259-A3D7-0F1B907A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Jahn</cp:lastModifiedBy>
  <cp:revision>15</cp:revision>
  <cp:lastPrinted>2015-11-11T17:12:00Z</cp:lastPrinted>
  <dcterms:created xsi:type="dcterms:W3CDTF">2017-10-06T12:39:00Z</dcterms:created>
  <dcterms:modified xsi:type="dcterms:W3CDTF">2017-10-09T13:31:00Z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22b0d6-cb08-48e4-b81e-c118f64f4880_Enabled">
    <vt:lpwstr>True</vt:lpwstr>
  </property>
  <property fmtid="{D5CDD505-2E9C-101B-9397-08002B2CF9AE}" pid="3" name="MSIP_Label_1f22b0d6-cb08-48e4-b81e-c118f64f4880_SiteId">
    <vt:lpwstr>1aa3f197-39d5-4269-bcea-93372aa086d9</vt:lpwstr>
  </property>
  <property fmtid="{D5CDD505-2E9C-101B-9397-08002B2CF9AE}" pid="4" name="MSIP_Label_1f22b0d6-cb08-48e4-b81e-c118f64f4880_Ref">
    <vt:lpwstr>https://api.informationprotection.azure.com/api/1aa3f197-39d5-4269-bcea-93372aa086d9</vt:lpwstr>
  </property>
  <property fmtid="{D5CDD505-2E9C-101B-9397-08002B2CF9AE}" pid="5" name="MSIP_Label_1f22b0d6-cb08-48e4-b81e-c118f64f4880_SetBy">
    <vt:lpwstr>Alwin.Peifer-Weiss@grunenthal.com</vt:lpwstr>
  </property>
  <property fmtid="{D5CDD505-2E9C-101B-9397-08002B2CF9AE}" pid="6" name="MSIP_Label_1f22b0d6-cb08-48e4-b81e-c118f64f4880_SetDate">
    <vt:lpwstr>2017-09-27T09:48:41.9001476+02:00</vt:lpwstr>
  </property>
  <property fmtid="{D5CDD505-2E9C-101B-9397-08002B2CF9AE}" pid="7" name="MSIP_Label_1f22b0d6-cb08-48e4-b81e-c118f64f4880_Name">
    <vt:lpwstr>Business Use</vt:lpwstr>
  </property>
  <property fmtid="{D5CDD505-2E9C-101B-9397-08002B2CF9AE}" pid="8" name="MSIP_Label_1f22b0d6-cb08-48e4-b81e-c118f64f4880_Application">
    <vt:lpwstr>Microsoft Azure Information Protection</vt:lpwstr>
  </property>
  <property fmtid="{D5CDD505-2E9C-101B-9397-08002B2CF9AE}" pid="9" name="MSIP_Label_1f22b0d6-cb08-48e4-b81e-c118f64f4880_Extended_MSFT_Method">
    <vt:lpwstr>Automatic</vt:lpwstr>
  </property>
  <property fmtid="{D5CDD505-2E9C-101B-9397-08002B2CF9AE}" pid="10" name="Sensitivity">
    <vt:lpwstr>Business Use</vt:lpwstr>
  </property>
</Properties>
</file>